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crea una nueva área de Gestión Patrimonial para gestionar sus nuevos vehículos de inversión en activos inmobiliarios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cartera inicial de la nueva SOCIMI estará compuesta por un portfolio mixto de activos residenciales, logísticos y terciarios con un volumen inicial aproximado de 700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inmobiliaria de Banco Sabadell tiene previsto iniciar la ronda de contactos con inversores interesados en el mercado español durante la próxima edición del Barcelona Meeting Point.    	Solvia, la inmobiliaria de Banco Sabadell, ha creado un área de Gestión Patrimonial que, a partir de ahora, se responsabilizará del diseño y la gestión de sus vehículos de inversión en activos inmobiliarios. La misión de esta nueva área de negocio será generar valor en sus activos y maximizar el retorno de la inversión del partícipe a través de un asesoramiento y una gestión integral. 		Al mismo tiempo, la inmobiliaria de Banco Sabadell está transformando su fondo de inversión inmobiliaria en una SOCIMI (sociedad anónima cotizada de inversión inmobiliaria) con el objetivo de dar entrada a nuevos inversores institucionales. Inicialmente, el portfolio de esta SOCIMI incluirá activos residenciales, logísticos y terciarios, con un volumen inicial aproximado de 700 millones de euros. 	Las SOCIMIs (o sociedades anónimas cotizadas de inversión inmobiliaria) son sociedades cotizadas cuya actividad principal es la adquisición, promoción y rehabilitación de activos de naturaleza urbana para su arrendamiento, bien directamente o bien a través de participaciones en el capital de otras SOCIMIs. Serían el equivalente español a lo que en los mercados internacionales se conoce como REIT (real estate investment trust). 	Los directivos de Solvia tienen previsto iniciar los primeros contactos con inversores institucionales potencialmente interesados en invertir en el mercado español durante la presente edición de Barcelona Meeting Point, que tendrá lugar, para el mercado profesional, entre los días 29 y 31 de octubre. 	Innovador estand de Solvia en el Barcelona Meeting Point  	El estand de Solvia en el BMP, con más de 200 m2 de superficie, contará con una zona comercial y una zona de innovación claramente diferenciadas. Solvia quiere aprovechar este importante certamen inmobiliario para hacer evidente su liderazgo en el sector, con una propuesta de valor basada en el rigor, la seriedad, la profesionalidad y la innovación.  	El visitante de BMP podrá conocer los proyectos finalistas del Premio Solvia y vivir una experiencia innovadora en el estand de Solvia, pues será partícipe del Observatorio de la Vivienda Solvia Innova, con ocho estaciones interactivas con realidad inmersiva e impresiones en 3D. Todo este despliegue tecnológico con vídeos, juegos interactivos y demos permitirá al visitante conocer la realidad actual de Solvia, así como tendencias en la vivienda y escenarios de futuro.  	La atención a través de iPad permitirá asimismo deslocalizar la atención más allá del propio estand y, de este modo, ofrecer al visitante un servicio dinámico e innovador.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https://www.notasdeprensa.es/solvia-crea-una-nueva-area-de-gestion_1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