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3% de las agencias de Google Ads de España cumplen el estándar más alto de calidad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Agencias como Lin3s, Dobuss y Rypples forman parte del exclusivo programa Google Partner Premier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reconoce anualmente a las mejores agencias de marketing digital en todo el mundo a través de la distinción Google Partner Premier. Formar parte de este exclusivo directorio avala la experiencia y habilidades de las agencias en la gestión de campañas publicitarias a través de Google Ads. Este logro representa pertenecer a un reducido grupo del 3% de los partners más exitosos de la compañía estadounidense, con agencias como Lin3s, Dobuss y Rypples. </w:t>
            </w:r>
          </w:p>
          <w:p>
            <w:pPr>
              <w:ind w:left="-284" w:right="-427"/>
              <w:jc w:val="both"/>
              <w:rPr>
                <w:rFonts/>
                <w:color w:val="262626" w:themeColor="text1" w:themeTint="D9"/>
              </w:rPr>
            </w:pPr>
            <w:r>
              <w:t>Ser Google Partner Premier es también una garantía para los clientes. Y es que esta distinción, reservada únicamente para profesionales destacados, representa una ventaja significativa para las empresas que buscan servicios de marketing digital de alta calidad. Los Google Partner Premier son las agencias que "han obtenido los mejores resultados y cumplen los requisitos del nivel más exclusivo del programa", tal como indica la plataforma en su página oficial. </w:t>
            </w:r>
          </w:p>
          <w:p>
            <w:pPr>
              <w:ind w:left="-284" w:right="-427"/>
              <w:jc w:val="both"/>
              <w:rPr>
                <w:rFonts/>
                <w:color w:val="262626" w:themeColor="text1" w:themeTint="D9"/>
              </w:rPr>
            </w:pPr>
            <w:r>
              <w:t>TOP 103: las mejores agencias Google Partner Premier por comunidad autónomaEn 2023 son 103 las mejores agencias de Google Ads españolas reconocidas con esta distinción en el programa, que cuentan con la formación, la asistencia y la información valiosa más actualizadas sobre los productos de Google. </w:t>
            </w:r>
          </w:p>
          <w:p>
            <w:pPr>
              <w:ind w:left="-284" w:right="-427"/>
              <w:jc w:val="both"/>
              <w:rPr>
                <w:rFonts/>
                <w:color w:val="262626" w:themeColor="text1" w:themeTint="D9"/>
              </w:rPr>
            </w:pPr>
            <w:r>
              <w:t>A continuación se muestra el listado de Google de todas las agencias, diferenciado por comunidades: </w:t>
            </w:r>
          </w:p>
          <w:p>
            <w:pPr>
              <w:ind w:left="-284" w:right="-427"/>
              <w:jc w:val="both"/>
              <w:rPr>
                <w:rFonts/>
                <w:color w:val="262626" w:themeColor="text1" w:themeTint="D9"/>
              </w:rPr>
            </w:pPr>
            <w:r>
              <w:t>AndalucíaClickSEM, Dobuss, Idento, Línea Gráfica, Mavance, Paraty Tech, Royal Comunicación, SIDN, WindUP Smart Business</w:t>
            </w:r>
          </w:p>
          <w:p>
            <w:pPr>
              <w:ind w:left="-284" w:right="-427"/>
              <w:jc w:val="both"/>
              <w:rPr>
                <w:rFonts/>
                <w:color w:val="262626" w:themeColor="text1" w:themeTint="D9"/>
              </w:rPr>
            </w:pPr>
            <w:r>
              <w:t>AragónSemmantica, Wanatop</w:t>
            </w:r>
          </w:p>
          <w:p>
            <w:pPr>
              <w:ind w:left="-284" w:right="-427"/>
              <w:jc w:val="both"/>
              <w:rPr>
                <w:rFonts/>
                <w:color w:val="262626" w:themeColor="text1" w:themeTint="D9"/>
              </w:rPr>
            </w:pPr>
            <w:r>
              <w:t>AsturiasAll around - Digital agence, Nineclicks</w:t>
            </w:r>
          </w:p>
          <w:p>
            <w:pPr>
              <w:ind w:left="-284" w:right="-427"/>
              <w:jc w:val="both"/>
              <w:rPr>
                <w:rFonts/>
                <w:color w:val="262626" w:themeColor="text1" w:themeTint="D9"/>
              </w:rPr>
            </w:pPr>
            <w:r>
              <w:t>BalearesRefineria Innovation, Roiback</w:t>
            </w:r>
          </w:p>
          <w:p>
            <w:pPr>
              <w:ind w:left="-284" w:right="-427"/>
              <w:jc w:val="both"/>
              <w:rPr>
                <w:rFonts/>
                <w:color w:val="262626" w:themeColor="text1" w:themeTint="D9"/>
              </w:rPr>
            </w:pPr>
            <w:r>
              <w:t>CanariasDactor media SL</w:t>
            </w:r>
          </w:p>
          <w:p>
            <w:pPr>
              <w:ind w:left="-284" w:right="-427"/>
              <w:jc w:val="both"/>
              <w:rPr>
                <w:rFonts/>
                <w:color w:val="262626" w:themeColor="text1" w:themeTint="D9"/>
              </w:rPr>
            </w:pPr>
            <w:r>
              <w:t>Castilla y LeónAgencia V3 Click, CrackPPC, Geotelecom, Súmate Marketing Online</w:t>
            </w:r>
          </w:p>
          <w:p>
            <w:pPr>
              <w:ind w:left="-284" w:right="-427"/>
              <w:jc w:val="both"/>
              <w:rPr>
                <w:rFonts/>
                <w:color w:val="262626" w:themeColor="text1" w:themeTint="D9"/>
              </w:rPr>
            </w:pPr>
            <w:r>
              <w:t>Castilla La ManchaBeu Smart, WebImpactoConsulting</w:t>
            </w:r>
          </w:p>
          <w:p>
            <w:pPr>
              <w:ind w:left="-284" w:right="-427"/>
              <w:jc w:val="both"/>
              <w:rPr>
                <w:rFonts/>
                <w:color w:val="262626" w:themeColor="text1" w:themeTint="D9"/>
              </w:rPr>
            </w:pPr>
            <w:r>
              <w:t>CataluñaAdgoritmo, Adsmurai, ClickOnline360, Algofy, Convertiam, Cyberclick, Elogia, Estudio34, Gauss y Neumann, Havas media España, Internectia, JEVNET, KEYWEO communication, Latevaweb, Llorella and co, PICKASO, Poliedric, Rocket Digital, Runroom, Scire Marketing, SEOCOM.Agency, Seposiciona, Trilogy- the ecommerce Agency, Web Manager Service, REEXPORTA</w:t>
            </w:r>
          </w:p>
          <w:p>
            <w:pPr>
              <w:ind w:left="-284" w:right="-427"/>
              <w:jc w:val="both"/>
              <w:rPr>
                <w:rFonts/>
                <w:color w:val="262626" w:themeColor="text1" w:themeTint="D9"/>
              </w:rPr>
            </w:pPr>
            <w:r>
              <w:t>Comunidad ValencianaAgencia nivel de calidad, Dark Moon, Digital menta, eXprimeNet, MULTICONVERSION, Oscar Abad-Raul Abad- ooscar Abad.com, PPC managers, Viva! Conversion</w:t>
            </w:r>
          </w:p>
          <w:p>
            <w:pPr>
              <w:ind w:left="-284" w:right="-427"/>
              <w:jc w:val="both"/>
              <w:rPr>
                <w:rFonts/>
                <w:color w:val="262626" w:themeColor="text1" w:themeTint="D9"/>
              </w:rPr>
            </w:pPr>
            <w:r>
              <w:t>GaliciaRedegal</w:t>
            </w:r>
          </w:p>
          <w:p>
            <w:pPr>
              <w:ind w:left="-284" w:right="-427"/>
              <w:jc w:val="both"/>
              <w:rPr>
                <w:rFonts/>
                <w:color w:val="262626" w:themeColor="text1" w:themeTint="D9"/>
              </w:rPr>
            </w:pPr>
            <w:r>
              <w:t>Comunidad de MadridAltamiraweb, Amadeus Hospitality, Apache media group, Arena media comunications, Artefact Spain, Avante comunicacion, Becool publicidad, Alkemy Iberia, Clever Ads, Clica Online, Dentsu, Equmedia, Fáktica Analytics, Habitant, HMG, I feel web, Increnta, Internet República, Io42, Labelium Spain, La torre wallace, Making Science, MarketiNet , Marketinhouse, Metricool, Neo Media World Spain, OMD ES, OMG España, OnTop media, Profesionalesmarketing.es, PUBLIUP, Rebold, RELEVANTIUM, Relevant Traffic Media, Rockin media, ROI UP Agency, SER o no SER, T20 Media, TIDART, Wavemaker España, Wink TTD, 20lab, Neoattack, AgenciaB12</w:t>
            </w:r>
          </w:p>
          <w:p>
            <w:pPr>
              <w:ind w:left="-284" w:right="-427"/>
              <w:jc w:val="both"/>
              <w:rPr>
                <w:rFonts/>
                <w:color w:val="262626" w:themeColor="text1" w:themeTint="D9"/>
              </w:rPr>
            </w:pPr>
            <w:r>
              <w:t>NavarraELI Z GROUP, Rypples</w:t>
            </w:r>
          </w:p>
          <w:p>
            <w:pPr>
              <w:ind w:left="-284" w:right="-427"/>
              <w:jc w:val="both"/>
              <w:rPr>
                <w:rFonts/>
                <w:color w:val="262626" w:themeColor="text1" w:themeTint="D9"/>
              </w:rPr>
            </w:pPr>
            <w:r>
              <w:t>País VascoLIN3S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655 446 738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https://www.notasdeprensa.es/solo-el-3-de-las-agencias-de-google-ads-de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