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Socios de Andalucía conocen el legado solidario como vía de colaboración con la infancia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encuentro, dirigido a socios de Cádiz, Córdoba, Huelva y Sevilla mayores de 50 años, contó con el testimonio de María Dolores Tito, madrileña afincada en Huércal Overa y socia de UNICEF Comité Almería, quien explicó las razones que le llevaron a incluir a UNICEF en su testamento.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María Dolores, “esta es una responsabilidad que tenemos para las generaciones venideras. Para mí es una satisfacción saber que seguiré ayudando cuando ya no este aquí, especialmente a los niños y las niñas que más lo necesitan”.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la notaria cordobesa Inmaculada Fernández contribuyó a resolver las dudas de carácter jurídico que surgieron entre los asistentes. Para Fernández, en España, especialmente en Andalucía, “no vemos la posibilidad de testar como algo práctico y lo vamos dejando. Desconocemos qué puede pasar si no dejamos nuestra última voluntad por escrito o las distintas posibilidades que existen”.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opciones más habituales, como son hacer un legado a UNICEF u otras organizaciones, incluir a UNICEF como coheredero o como heredero universal, durante la charla se plantearon otras posibilidades interesantes. Tal y como explicó Inmaculada Fernández, la situación actual de crisis está propiciando que herederos que se encuentran en el extranjero o en mala situación económica, rechacen el testamento de su familiar ante los gastos e impuestos que esto supone, al menos en Andalucía. “Siempre puedes incluir a UNICEF como destinatario de los bienes en el caso de que tus herederos renuncien; es otra vía“, aclaró Fernández.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esta forma de colaboración es algo incipiente en nuestro país, las herencias y legados constituyen una importante fuente de financiación que permiten a UNICEF continuar con su trabajo y multiplicar sus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Son, además, fondos que, por su aplicación a medio y largo plazo, sustentan programas que causan un impacto profundo y que transforman de forma sostenible la realidad en la que vive la infancia.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personas que han decidido ya designar a UNICEF como destinataria de una parte de su herencia, la organización ha podido responder a grandes emergencias humanitarias, así como obtener notables logros en la reducción de la mortalidad infantil, el acceso a la educación o la protección de los niños frente a la violencia y la explotación.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https://www.notasdeprensa.es/socios-de-andalucia-conocen-el-legado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