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Sant Just Desvern  el 03/10/2024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Schaeffler: "Smart Maintenance Tools" para un mantenimiento seguro y eficiente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Gama de herramientas ampliada bajo la etiqueta de "Smart Maintenance Tools" (Herramientas de mantenimiento inteligentes). Extractores mecánicos e hidráulicos con función de autocentrado para una manipulación fácil y rápida. Herramientas térmicas para operaciones de montaje rápidas, respetuosas con el material y que ahorran energía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Entre el 10 % y el 20 % de los fallos de rodamientos se deben a una manipulación incorrecta de las piezas durante el mantenimiento. Para responder a esta situación, Schaeffler presentó en la InnoTrans 2024 sus "Smart Maintenance Tools" (antes denominadas Bega Special Tools), un portafolio ampliado de soluciones para montar y desmontar los componentes de los accionamientos de manera ergonómica, segura y respetuosa con el material.</w:t></w:r></w:p><w:p><w:pPr><w:ind w:left="-284" w:right="-427"/>	<w:jc w:val="both"/><w:rPr><w:rFonts/><w:color w:val="262626" w:themeColor="text1" w:themeTint="D9"/></w:rPr></w:pPr><w:r><w:t>Extractores hidráulicos y mecánicosEn la exposición ferial, Schaeffler mostrará, entre otros productos, los extractores mecánicos e hidráulicos de dos y tres brazos con función de autocentrado, de las series de productos MSP (mecánicos), HSP y HXP (hidráulicos), para montar componentes pequeños y medianos de forma fácil y segura.En cuanto a soluciones de manipulación específicas para grandes rodamientos, acoplamientos y ruedas de ferrocarril y metro, Schaeffler presentará los extractores BETEX HXPM, con una capacidad máxima de tracción de 150 toneladas, y BETEX BPP, que tienen una capacidad máxima de 100 toneladas. Estas herramientas son regulables en altura y fáciles de maniobrar, de modo que se pueden manejar con rapidez, facilidad y seguridad, incluso por un técnico que trabaje solo. Asimismo, el diseño inteligente de las herramientas minimiza el riesgo de causar daños en los ejes, los rodamientos y las ruedas al montarlos o desmontarlos Tanto las herramientas mecánicas, como las hidráulicas, tienen la función de autocentrado.</w:t></w:r></w:p><w:p><w:pPr><w:ind w:left="-284" w:right="-427"/>	<w:jc w:val="both"/><w:rPr><w:rFonts/><w:color w:val="262626" w:themeColor="text1" w:themeTint="D9"/></w:rPr></w:pPr><w:r><w:t>Herramientas térmicas para rodamientos Para montar y desmontar grandes componentes, Schaeffler también ofrece los dispositivos de calentamiento por inducción móviles y altamente versátiles que incorporan la tecnología de media frecuencia (TMF). Gracias a que su período de calentamiento es más breve, estos dispositivos de calentamiento reducen a la mitad los tiempos de montaje y desmontaje de los rodamientos, de modo que este aumento de la productividad comporta una clara disminución en los costes de mantenimiento.</w:t></w:r></w:p><w:p><w:pPr><w:ind w:left="-284" w:right="-427"/>	<w:jc w:val="both"/><w:rPr><w:rFonts/><w:color w:val="262626" w:themeColor="text1" w:themeTint="D9"/></w:rPr></w:pPr><w:r><w:t>Los dispositivos de calentamiento por inducción de la serie HEATER de Schaeffler se utilizan para calentar de manera rápida y suave rodamientos completos, anillos interiores de rodamientos y otros elementos rotativos de las máquinas que han de montarse con asiento fijo en un eje y expandirse térmicamente antes del montaje.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Núria Galimany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Communications & Branding - Schaeffler Iberia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+34 93 480 36 77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https://www.notasdeprensa.es/smart-maintenance-tools-para-un-mantenimiento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Internacional Nacional Inteligencia Artificial y Robótica Eventos Sostenibilidad Otras Industrias Innovación Tecnológica Actualidad Empresarial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