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41004 el 12/12/2012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Segunda edición de "Pieza única II. Del oficio al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 y Costumbres populares acoge un año más la exposición "Pieza única II. Del oficio al arte". Esta exposición se realiza en colaboración con la Federación Artesanal de Sevilla y se podrán visitar piezas de diversa índole como trajes, decoración con cerámica como la de Lacerámicadesevilla, lámparas o muebles escultura.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Todas las obras han sido realizadas de forma artesanal por 21 artesanos sevillanos que participarán en un concurso en el que se premiará la mejor pieza. Esta muestra pretende apostar por la experimentación y ha documentado las transformaciones que han sufrido las conductas y saberes propios de la cultura tradicional y que han dado lugar a nuevas fórmulas culturales</w:t>
            </w:r>
          </w:p>
          <w:p>
            <w:pPr>
              <w:ind w:left="-284" w:right="-427"/>
              <w:jc w:val="both"/>
              <w:rPr>
                <w:rFonts/>
                <w:color w:val="262626" w:themeColor="text1" w:themeTint="D9"/>
              </w:rPr>
            </w:pPr>
            <w:r>
              <w:t>	Además, el visitante podrá conocer  las técnicas de elaboración de las piezas así como su creatividad, innovación y calidad técnica de los diferentes talleres y oficios.  La exposición estará abierta hasta el 8 de enero y su entrada es gratuita. El horario es de martes a sábado de 09.00 a 20.30 y domingos y festivos de 09.00 a 14.30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Rollán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954222829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https://www.notasdeprensa.es/segunda-edicion-de-pieza-unica-ii-del-oficio-al-arte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