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confirman 3.421 nuevas plazas para Personal Laboral de Correos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Ediciones Rodio se hace eco de la noticia que ha publicado Correos de forma oficial, en la que ha anunciado una nueva convocatoria con 3.421 plazas de empleo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Correos ha anunciado una nueva convocatoria con 3.421 plazas para Personal Laboral. Esta nueva oferta incluye 1.421 que se corresponden a las tasas de reposición del año 2019 y otros 2.000 puestos relativos al plan de estabilización de Empleo Temporal 2018-20.</w:t>
            </w:r>
          </w:p>
          <w:p>
            <w:pPr>
              <w:ind w:left="-284" w:right="-427"/>
              <w:jc w:val="both"/>
              <w:rPr>
                <w:rFonts/>
                <w:color w:val="262626" w:themeColor="text1" w:themeTint="D9"/>
              </w:rPr>
            </w:pPr>
            <w:r>
              <w:t>El proceso de selección contará con un máximo de 100 puntos, distribuidos entre un máximo de 63 para la fase de prueba y un máximo de 37 para la fase de méritos.</w:t>
            </w:r>
          </w:p>
          <w:p>
            <w:pPr>
              <w:ind w:left="-284" w:right="-427"/>
              <w:jc w:val="both"/>
              <w:rPr>
                <w:rFonts/>
                <w:color w:val="262626" w:themeColor="text1" w:themeTint="D9"/>
              </w:rPr>
            </w:pPr>
            <w:r>
              <w:t>La prueba de accesoLa nueva prueba de acceso consistirá en responder un cuestionario tipo test de 100 preguntas, en un máximo de 110 minutos, con cuatro respuestas de la que sólo una contará como válida. Las respuestas erróneas no puntuarán de forma negativa. Los contenidos de las preguntas serán las siguientes:</w:t>
            </w:r>
          </w:p>
          <w:p>
            <w:pPr>
              <w:ind w:left="-284" w:right="-427"/>
              <w:jc w:val="both"/>
              <w:rPr>
                <w:rFonts/>
                <w:color w:val="262626" w:themeColor="text1" w:themeTint="D9"/>
              </w:rPr>
            </w:pPr>
            <w:r>
              <w:t>- 90 Preguntas sobre materias relacionadas en programa, pudiendo contener preguntas generales y específicas para los puestos de trabajo</w:t>
            </w:r>
          </w:p>
          <w:p>
            <w:pPr>
              <w:ind w:left="-284" w:right="-427"/>
              <w:jc w:val="both"/>
              <w:rPr>
                <w:rFonts/>
                <w:color w:val="262626" w:themeColor="text1" w:themeTint="D9"/>
              </w:rPr>
            </w:pPr>
            <w:r>
              <w:t>- 10 Preguntas psicotécnicas. ´</w:t>
            </w:r>
          </w:p>
          <w:p>
            <w:pPr>
              <w:ind w:left="-284" w:right="-427"/>
              <w:jc w:val="both"/>
              <w:rPr>
                <w:rFonts/>
                <w:color w:val="262626" w:themeColor="text1" w:themeTint="D9"/>
              </w:rPr>
            </w:pPr>
            <w:r>
              <w:t>Plazos de inscripciónEl objetivo de correos es realizar el examen antes de finalizar el 2020, y los méritos se tomarán en cuenta hasta fecha de 30 de noviembre. Se prevé que el examen sea en los primeros meses de 2021, siguiendo todas las normas sanitarias relativas a la prevención de la COVID-19.</w:t>
            </w:r>
          </w:p>
          <w:p>
            <w:pPr>
              <w:ind w:left="-284" w:right="-427"/>
              <w:jc w:val="both"/>
              <w:rPr>
                <w:rFonts/>
                <w:color w:val="262626" w:themeColor="text1" w:themeTint="D9"/>
              </w:rPr>
            </w:pPr>
            <w:r>
              <w:t>TemasLos contenidos a estudiar serán los siguientes:</w:t>
            </w:r>
          </w:p>
          <w:p>
            <w:pPr>
              <w:ind w:left="-284" w:right="-427"/>
              <w:jc w:val="both"/>
              <w:rPr>
                <w:rFonts/>
                <w:color w:val="262626" w:themeColor="text1" w:themeTint="D9"/>
              </w:rPr>
            </w:pPr>
            <w:r>
              <w:t>- Tema 1. Productos y servicios postales (ordinarios y registrados).</w:t>
            </w:r>
          </w:p>
          <w:p>
            <w:pPr>
              <w:ind w:left="-284" w:right="-427"/>
              <w:jc w:val="both"/>
              <w:rPr>
                <w:rFonts/>
                <w:color w:val="262626" w:themeColor="text1" w:themeTint="D9"/>
              </w:rPr>
            </w:pPr>
            <w:r>
              <w:t>- Tema 2. Valores añadidos y servicios adicionales.</w:t>
            </w:r>
          </w:p>
          <w:p>
            <w:pPr>
              <w:ind w:left="-284" w:right="-427"/>
              <w:jc w:val="both"/>
              <w:rPr>
                <w:rFonts/>
                <w:color w:val="262626" w:themeColor="text1" w:themeTint="D9"/>
              </w:rPr>
            </w:pPr>
            <w:r>
              <w:t>- Tema 3. Paquetería y e-Commerce. Soluciones digitales. Diversificación. Correos Market.</w:t>
            </w:r>
          </w:p>
          <w:p>
            <w:pPr>
              <w:ind w:left="-284" w:right="-427"/>
              <w:jc w:val="both"/>
              <w:rPr>
                <w:rFonts/>
                <w:color w:val="262626" w:themeColor="text1" w:themeTint="D9"/>
              </w:rPr>
            </w:pPr>
            <w:r>
              <w:t>- Tema 4. Oficinas de Correos: Productos y servicios. Envío de dinero.</w:t>
            </w:r>
          </w:p>
          <w:p>
            <w:pPr>
              <w:ind w:left="-284" w:right="-427"/>
              <w:jc w:val="both"/>
              <w:rPr>
                <w:rFonts/>
                <w:color w:val="262626" w:themeColor="text1" w:themeTint="D9"/>
              </w:rPr>
            </w:pPr>
            <w:r>
              <w:t>- Tema 5. Procesos de admisión. Información Aduanera.</w:t>
            </w:r>
          </w:p>
          <w:p>
            <w:pPr>
              <w:ind w:left="-284" w:right="-427"/>
              <w:jc w:val="both"/>
              <w:rPr>
                <w:rFonts/>
                <w:color w:val="262626" w:themeColor="text1" w:themeTint="D9"/>
              </w:rPr>
            </w:pPr>
            <w:r>
              <w:t>- Tema 6. Procesos de tratamiento y transporte.</w:t>
            </w:r>
          </w:p>
          <w:p>
            <w:pPr>
              <w:ind w:left="-284" w:right="-427"/>
              <w:jc w:val="both"/>
              <w:rPr>
                <w:rFonts/>
                <w:color w:val="262626" w:themeColor="text1" w:themeTint="D9"/>
              </w:rPr>
            </w:pPr>
            <w:r>
              <w:t>- Tema 7. Procesos de entrega.</w:t>
            </w:r>
          </w:p>
          <w:p>
            <w:pPr>
              <w:ind w:left="-284" w:right="-427"/>
              <w:jc w:val="both"/>
              <w:rPr>
                <w:rFonts/>
                <w:color w:val="262626" w:themeColor="text1" w:themeTint="D9"/>
              </w:rPr>
            </w:pPr>
            <w:r>
              <w:t>- Tema 8. Herramientas corporativas (IRIS, SGIE, PDAs y otras). Aplicaciones móviles (APP’s).</w:t>
            </w:r>
          </w:p>
          <w:p>
            <w:pPr>
              <w:ind w:left="-284" w:right="-427"/>
              <w:jc w:val="both"/>
              <w:rPr>
                <w:rFonts/>
                <w:color w:val="262626" w:themeColor="text1" w:themeTint="D9"/>
              </w:rPr>
            </w:pPr>
            <w:r>
              <w:t>- Tema 9. Correos: marco legal, organización y estrategia. Organismos Reguladores.</w:t>
            </w:r>
          </w:p>
          <w:p>
            <w:pPr>
              <w:ind w:left="-284" w:right="-427"/>
              <w:jc w:val="both"/>
              <w:rPr>
                <w:rFonts/>
                <w:color w:val="262626" w:themeColor="text1" w:themeTint="D9"/>
              </w:rPr>
            </w:pPr>
            <w:r>
              <w:t>- Tema 10. El cliente: atención y calidad. Protocolos de venta y atención al cliente.</w:t>
            </w:r>
          </w:p>
          <w:p>
            <w:pPr>
              <w:ind w:left="-284" w:right="-427"/>
              <w:jc w:val="both"/>
              <w:rPr>
                <w:rFonts/>
                <w:color w:val="262626" w:themeColor="text1" w:themeTint="D9"/>
              </w:rPr>
            </w:pPr>
            <w:r>
              <w:t>- Tema 11. Igualdad y violencia de género. Seguridad de la información. Protección de Datos. (RGPD). Prevención de blanqueo de capitales. Compromiso ético y transparencia. RSC y Sostenibilidad.</w:t>
            </w:r>
          </w:p>
          <w:p>
            <w:pPr>
              <w:ind w:left="-284" w:right="-427"/>
              <w:jc w:val="both"/>
              <w:rPr>
                <w:rFonts/>
                <w:color w:val="262626" w:themeColor="text1" w:themeTint="D9"/>
              </w:rPr>
            </w:pPr>
            <w:r>
              <w:t>- Tema 12. Conocimientos de digitalización. Negocios digitales. Navegación e identidad digital.</w:t>
            </w:r>
          </w:p>
          <w:p>
            <w:pPr>
              <w:ind w:left="-284" w:right="-427"/>
              <w:jc w:val="both"/>
              <w:rPr>
                <w:rFonts/>
                <w:color w:val="262626" w:themeColor="text1" w:themeTint="D9"/>
              </w:rPr>
            </w:pPr>
            <w:r>
              <w:t>Preparación con Ediciones RodioEn Ediciones Rodio disponen de todo el material necesario para presentarse con garantías a esta nueva convocatoria de Correos. Se puede tanto elegir una formación completa con el Pack Correos 2020 o comprar por separado el Temario para Personal Laboral de Correos, el Test para Correos o el Test Psicotécnico para Personal Laboral de Correos.</w:t>
            </w:r>
          </w:p>
          <w:p>
            <w:pPr>
              <w:ind w:left="-284" w:right="-427"/>
              <w:jc w:val="both"/>
              <w:rPr>
                <w:rFonts/>
                <w:color w:val="262626" w:themeColor="text1" w:themeTint="D9"/>
              </w:rPr>
            </w:pPr>
            <w:r>
              <w:t>Además, se puede practicar online con el Rodio Training Correos.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Ediciones Rodio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955 28 74 84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https://www.notasdeprensa.es/se-confirman-3-421-nuevas-plazas-para-personal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