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Eibar el 20/09/2021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ScrapAd cierra su primera ronda de financiación de 1.000.000 € y consolida su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ScrapAd están de enhorabuena. Han consolidado su papel clave en la digitalización del sector logrando su primera ronda de financiación que asciende a 1.000.000€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ronda han contado con la confianza de empresas de gran reputación junto con un fondo de inversión y que, sumado al capital conseguido previamente, les da una gran robustez económica para afrontar un ambicioso plan de crecimiento y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mantener un crecimiento exponencial durante el último año, esta ronda consolida su posición, además de impulsar la expansión a países clave y acelerar la implementación de nuevas funcionalidades muy atractivas que brindarán un gran valor agregado a las empresas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ScrapAdEn ScrapAd inician su andadura el pasado año revolucionando un “sector tradicional, local y poco digitalizado” como es el de la compraventa de residuos y materiales de desecho, abriendo “una ventana al mundo, creando el mejor destino para cualquier residuo” potenciando así la economía circular.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marketplace global para la compraventa de material reciclable está basado en una plataforma inteligente de última generación, que ofrece a los usuarios verificados del sector un entorno profesional y seguro en el que gestionar de forma sencilla anuncios de compra o de venta de sus materiales.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Comunicación de ScrapAd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943558628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https://www.notasdeprensa.es/scrapad-cierra-su-primera-ronda-de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País Vasco Ecología Emprendedores E-Commerce Otras Industrias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