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Schaeffler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anuncia la suspensión y reanudación de la cotización de sus acciones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integración de Vitesco Technologies Group AG en Schaeffler AG mediante la fusión por absorción a cambio de la concesión de acciones de Schaeffler AG a los actuales accionistas de Vitesco Technologies Group AG entró en vigor el 1 de octubre de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integración de Vitesco Technologies Group AG (ISIN: DE000VTSC017 / WKN: VTSC01) en Schaeffler AG (acciones ordinarias: ISIN DE000SHA0019 / WKN: SHA001) mediante la fusión por absorción a cambio de la concesión de acciones de Schaeffler AG a los actuales accionistas de Vitesco Technologies Group AG entró en vigor el 1 de octubre de 2024, tras la inscripción de la fusión en el registro mercantil de Schaeffler AG. Asimismo, desde el 1 de octubre de 2024 está en vigor la conversión de las acciones preferentes sin derecho a voto de Schaeffler AG (ISIN: DE000SHA0159 / WKN: SHA015) en acciones ordinarias de la empresa.</w:t></w:r></w:p><w:p><w:pPr><w:ind w:left="-284" w:right="-427"/>	<w:jc w:val="both"/><w:rPr><w:rFonts/><w:color w:val="262626" w:themeColor="text1" w:themeTint="D9"/></w:rPr></w:pPr><w:r><w:t>En este contexto, la bolsa de valores de Fráncfort suspendió la cotización de las acciones preferentes sin derecho a voto de Schaeffler AG y las acciones de Vitesco Technologies Group AG antes del inicio de la negociación el 1 de octubre de 2024. Esto significa que el 30 de septiembre de 2024 fue el último día de negociación de las acciones preferentes sin derecho a voto de Schaeffler AG y las acciones de Vitesco Technologies Group AG.La cotización de las acciones ordinarias de Schaeffler AG empezó el 2 de octubre de 2024. Schaeffler AG informará al mercado de capitales sobre la evolución de la situación, de conformidad con sus obligaciones legales.</w:t></w:r></w:p><w:p><w:pPr><w:ind w:left="-284" w:right="-427"/>	<w:jc w:val="both"/><w:rPr><w:rFonts/><w:color w:val="262626" w:themeColor="text1" w:themeTint="D9"/></w:rPr></w:pPr><w:r><w:t>Afirmaciones y previsiones que hacen referencia al futuroDeterminadas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w:t></w:r></w:p><w:p><w:pPr><w:ind w:left="-284" w:right="-427"/>	<w:jc w:val="both"/><w:rPr><w:rFonts/><w:color w:val="262626" w:themeColor="text1" w:themeTint="D9"/></w:rPr></w:pPr><w:r><w:t>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https://www.notasdeprensa.es/schaeffler-anuncia-la-suspension-y-reanudacion_1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Inteligencia Artificial y Robótica Industria Automotriz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