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SabadellHerrero abre una especial y urgente línea de crédito para subsanar los daños del temporal marítimo en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SabadellHerrero ha abierto una línea de crédito para ayudar a subsanar los daños del temporal marítimo que azotó con fuerza la costa asturiana el pasado fin de semana, causando importantes destrozos.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personas que deseen acogerse a esta línea de ayudas deberán dirigirse a cualquiera de las oficinas de SabadellHerrero. La línea de crédito tiene un interés del 6%, sin comisiones, con un plazo de seis años y la posibilidad de dos de carencia. El importe del crédito puede llegar hasta el 100% del importe de la reparación a efectuar.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SabadellHerrero, que no descarta la posibilidad de adoptar otras medidas financieras en caso de que sea necesario, quiere de esta forma contribuir de una forma eficaz y rápida a solucionar los problemas de los afectados por el temporal, quienes podrán disponer del dinero en un plazo máximo de 48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https://www.notasdeprensa.es/sabadellherrero-abre-una-especial-y-urgente_1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Asturias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