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PRESENTARÁ EN ECC 2013 DATOS DE INMUNOTERAPIA Y DE NUEVOS FÁRMACOS PARA CÁNCER DE PULMÓN Y MELANOMA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medicamentos de la compañía protagonizan más de 138 presentaciones del Congreso Europea de Oncología (ECC)
ROCHE PRESENTARÁ EN ECC 2013 DATOS DE INMUNOTERAPIA Y DE NUEVOS FÁRMACOS PARA CÁNCER DE PULMÓN Y MELANOMA.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Roche presentará en el Congreso Europeo de Oncología (ECC) por primera vez datos de nuevas terapias experimentales para el cáncer de pulmón y de melanoma, así como resultados prometedores de su inmunoterapia aPDL1 y de otros fármacos ya aprobados en una amplia variedad de tumores. En la reunión, que este año se celebra en Amsterdam entre los días 27 de septiembre y 1 de octubre, los tratamientos de la compañía suiza protagonizan más de 138 presentaciones científicas de 18 fármacos de la compañía dirigidos a una amplia gama de dianas terapéuticas.</w:t>
            </w:r>
          </w:p>
          <w:p>
            <w:pPr>
              <w:ind w:left="-284" w:right="-427"/>
              <w:jc w:val="both"/>
              <w:rPr>
                <w:rFonts/>
                <w:color w:val="262626" w:themeColor="text1" w:themeTint="D9"/>
              </w:rPr>
            </w:pPr>
            <w:r>
              <w:t>	Como señala el director médico y responsable de Desarrollo Global de Productos de Roche, Hal Barron, "nuestro compromiso es trabajar para identificar el potencial antitumoral de nuevas moléculas y extraer el máximo beneficio de otras ya comercializadas como Bevacizumab, Trastuzumab y Vemurafenib, con aprobaciones indicadas en diferentes tumores. De unas y otras vamos a presentar datos prometedores en Amsterdam”.</w:t>
            </w:r>
          </w:p>
          <w:p>
            <w:pPr>
              <w:ind w:left="-284" w:right="-427"/>
              <w:jc w:val="both"/>
              <w:rPr>
                <w:rFonts/>
                <w:color w:val="262626" w:themeColor="text1" w:themeTint="D9"/>
              </w:rPr>
            </w:pPr>
            <w:r>
              <w:t>	Cáncer de mama: avances anti-HER 2</w:t>
            </w:r>
          </w:p>
          <w:p>
            <w:pPr>
              <w:ind w:left="-284" w:right="-427"/>
              <w:jc w:val="both"/>
              <w:rPr>
                <w:rFonts/>
                <w:color w:val="262626" w:themeColor="text1" w:themeTint="D9"/>
              </w:rPr>
            </w:pPr>
            <w:r>
              <w:t>	Roche lleva liderando más de tres décadas la investigación de tratamientos para el cáncer de mama HER2 positivo. La compañía ha desarrollado ya tres medicamentos que pueden utilizarse en aquellas pacientes que previamente se han sometido a un test diagnóstico que identifica quiénes tienen la sobreexpresión de HER2 y, por tanto, más posibilidades de beneficiarse de estos fármacos. Datos de eficacia y calidad de vida relativos a dos de estas terapias anti-HER se presentarán en el Congreso y en ambos casos con participación de centros españoles:</w:t>
            </w:r>
          </w:p>
          <w:p>
            <w:pPr>
              <w:ind w:left="-284" w:right="-427"/>
              <w:jc w:val="both"/>
              <w:rPr>
                <w:rFonts/>
                <w:color w:val="262626" w:themeColor="text1" w:themeTint="D9"/>
              </w:rPr>
            </w:pPr>
            <w:r>
              <w:t>		Destacado por su relevancia y seleccionado para el programa de prensa oficial de la reunión es el estudio fase III TH3RESA con el primer anticuerpo conjugado para este tipo de tumor, aunando en una sola molécula un biológico y una quimioterapia. Se trata de los primeros resultados de esta investigación que compara el uso de Trastuzumab Emtansina, también conocido como T-DM1 (comercializado en EEUU como Kadcyla®) frente a otra terapia, a elección del médico, en mujeres con cáncer de mama HER2 positivo metastásico que hayan recibido antes terapias basadas en Trastuzumab y Lapatinib.</w:t>
            </w:r>
          </w:p>
          <w:p>
            <w:pPr>
              <w:ind w:left="-284" w:right="-427"/>
              <w:jc w:val="both"/>
              <w:rPr>
                <w:rFonts/>
                <w:color w:val="262626" w:themeColor="text1" w:themeTint="D9"/>
              </w:rPr>
            </w:pPr>
            <w:r>
              <w:t>		Del estudio fase II PrefHER se van a poder conocer resultados derivados de investigar los beneficios de Herceptin® en administración subcutánea frente a la vía intravenosa, en términos de ahorro para el sistema sanitario. Esta nueva versión fue aprobada en la Unión Europea a principios de este mes para mujeres cáncer de mama HER2 positivo tanto en fase precoz y metastásico.</w:t>
            </w:r>
          </w:p>
          <w:p>
            <w:pPr>
              <w:ind w:left="-284" w:right="-427"/>
              <w:jc w:val="both"/>
              <w:rPr>
                <w:rFonts/>
                <w:color w:val="262626" w:themeColor="text1" w:themeTint="D9"/>
              </w:rPr>
            </w:pPr>
            <w:r>
              <w:t>	Avance en cáncer de pulmón: Alectinib </w:t>
            </w:r>
          </w:p>
          <w:p>
            <w:pPr>
              <w:ind w:left="-284" w:right="-427"/>
              <w:jc w:val="both"/>
              <w:rPr>
                <w:rFonts/>
                <w:color w:val="262626" w:themeColor="text1" w:themeTint="D9"/>
              </w:rPr>
            </w:pPr>
            <w:r>
              <w:t>	Resultan esperanzadores los datos de seguridad y eficacia de Alectinib para pacientes, con cáncer de pulmón no microcítico avanzado ALK-`positivo, cuya enfermedad ha progresado tras recibir crizotinib. Alectinib es una terapia en investigación perteneciente a la segunda generación de inhibidores de ALK y ha sido desarrollado por Chugai Co. Ltd, compañía del grupo Roche.</w:t>
            </w:r>
          </w:p>
          <w:p>
            <w:pPr>
              <w:ind w:left="-284" w:right="-427"/>
              <w:jc w:val="both"/>
              <w:rPr>
                <w:rFonts/>
                <w:color w:val="262626" w:themeColor="text1" w:themeTint="D9"/>
              </w:rPr>
            </w:pPr>
            <w:r>
              <w:t>	MPDL3280A (Inmunoterapia aPDL1)</w:t>
            </w:r>
          </w:p>
          <w:p>
            <w:pPr>
              <w:ind w:left="-284" w:right="-427"/>
              <w:jc w:val="both"/>
              <w:rPr>
                <w:rFonts/>
                <w:color w:val="262626" w:themeColor="text1" w:themeTint="D9"/>
              </w:rPr>
            </w:pPr>
            <w:r>
              <w:t>	El anticuerpo aPDL1 MPDL3280A (RG7446) es una terapia experimental diseñada para hacer más vulnerables a las células tumorales en su lucha contra el sistema inmunitario. El fármaco consigue debilitarlas actuando sobre una proteína denominada PD-L1, presente en la superficie de las células cancerígenas. En Amsterdam, se presentarán datos de esta inmunoterapia en pacientes con cáncer de pulmón no microcítico. En el último Congreso Americano de Oncología (ASCO) ya se difundieron resultados de su uso en un número reducido de pacientes.</w:t>
            </w:r>
          </w:p>
          <w:p>
            <w:pPr>
              <w:ind w:left="-284" w:right="-427"/>
              <w:jc w:val="both"/>
              <w:rPr>
                <w:rFonts/>
                <w:color w:val="262626" w:themeColor="text1" w:themeTint="D9"/>
              </w:rPr>
            </w:pPr>
            <w:r>
              <w:t>	Melanoma, combinando mecanismos de acción </w:t>
            </w:r>
          </w:p>
          <w:p>
            <w:pPr>
              <w:ind w:left="-284" w:right="-427"/>
              <w:jc w:val="both"/>
              <w:rPr>
                <w:rFonts/>
                <w:color w:val="262626" w:themeColor="text1" w:themeTint="D9"/>
              </w:rPr>
            </w:pPr>
            <w:r>
              <w:t>	Zelboraf® (Vemurafenib) fue la primera terapia personalizada para pacientes con melanoma. Se trata de una molécula de pequeño tamaño y administración oral diseñada para inhibir las formas mutadas de la proteína BRAF V600E, una proteína presente en diferentes tipos de cáncer. Actualmente su uso está aprobado para tratar el melanoma metastásico con mutación de la proteína BRAF V600E. En el congreso europeo se van a presentar nuevos datos del estudio fase Ib BRIM7 que prueba el beneficio de combinar Vemurafenib con el inhibidor de MEK Cobimetinib (GDC-0973), una terapia en fase de investigación. También está previsto que se presenten resultados de otro estudio fase II con Vemurafenib para pacientes con cáncer de tiroides.</w:t>
            </w:r>
          </w:p>
          <w:p>
            <w:pPr>
              <w:ind w:left="-284" w:right="-427"/>
              <w:jc w:val="both"/>
              <w:rPr>
                <w:rFonts/>
                <w:color w:val="262626" w:themeColor="text1" w:themeTint="D9"/>
              </w:rPr>
            </w:pPr>
            <w:r>
              <w:t>	Avastin® en cáncer de ovario y de cérvix</w:t>
            </w:r>
          </w:p>
          <w:p>
            <w:pPr>
              <w:ind w:left="-284" w:right="-427"/>
              <w:jc w:val="both"/>
              <w:rPr>
                <w:rFonts/>
                <w:color w:val="262626" w:themeColor="text1" w:themeTint="D9"/>
              </w:rPr>
            </w:pPr>
            <w:r>
              <w:t>	Un año más continúan ampliándose las posibilidades que podría ofrecer el antiangiogénico  Bevacizumab (Avastin®) en distintos tumores gracias a su capacidad para impedir al tumor que se alimente del suministro de los vasos sanguíneos cercanos y así evitar su crecimiento. En Amsterdam se presentarán más de 66 abstracts de estudios: entre ellos destacan, por un lado, los resultados finales de supervivencia de dos fase III en cáncer de ovario, el ICON7 (pacientes sin tratamiento previo) y el AURELIA (pacientes sensibles a platinos que han recaído); y por otro, datos de calidad de vida en cáncer de cérvix procedentes del estudio fase III GOG240.</w:t>
            </w:r>
          </w:p>
          <w:p>
            <w:pPr>
              <w:ind w:left="-284" w:right="-427"/>
              <w:jc w:val="both"/>
              <w:rPr>
                <w:rFonts/>
                <w:color w:val="262626" w:themeColor="text1" w:themeTint="D9"/>
              </w:rPr>
            </w:pPr>
            <w:r>
              <w:t>	Listado de estudios mencionados previamente: </w:t>
            </w:r>
          </w:p>
          <w:p>
            <w:pPr>
              <w:ind w:left="-284" w:right="-427"/>
              <w:jc w:val="both"/>
              <w:rPr>
                <w:rFonts/>
                <w:color w:val="262626" w:themeColor="text1" w:themeTint="D9"/>
              </w:rPr>
            </w:pPr>
            <w:r>
              <w:t>	Kadcyla: </w:t>
            </w:r>
          </w:p>
          <w:p>
            <w:pPr>
              <w:ind w:left="-284" w:right="-427"/>
              <w:jc w:val="both"/>
              <w:rPr>
                <w:rFonts/>
                <w:color w:val="262626" w:themeColor="text1" w:themeTint="D9"/>
              </w:rPr>
            </w:pPr>
            <w:r>
              <w:t>		Abstract #15: LATE BREAKING ABSTRACT T-DM1 for HER2-positive metastatic breast cancer (MBC): Primary results from TH3RESA, a phase 3 study of T-DM1 vs treatment of physician and #39;s choice. ECC media briefing September 28. Proffered papers session, Saturday, September 28, 13:03 – 13:15 in Hall 7.1 </w:t>
            </w:r>
          </w:p>
          <w:p>
            <w:pPr>
              <w:ind w:left="-284" w:right="-427"/>
              <w:jc w:val="both"/>
              <w:rPr>
                <w:rFonts/>
                <w:color w:val="262626" w:themeColor="text1" w:themeTint="D9"/>
              </w:rPr>
            </w:pPr>
            <w:r>
              <w:t>	Herceptin SC: </w:t>
            </w:r>
          </w:p>
          <w:p>
            <w:pPr>
              <w:ind w:left="-284" w:right="-427"/>
              <w:jc w:val="both"/>
              <w:rPr>
                <w:rFonts/>
                <w:color w:val="262626" w:themeColor="text1" w:themeTint="D9"/>
              </w:rPr>
            </w:pPr>
            <w:r>
              <w:t>		Abstract #1759: Reasons for patients and #39; preferences for subcutaneous or intravenous trastuzumab in the PrefHer study. Poster session, Saturday, September 28, 09:30 – 16:30 in Hall 4</w:t>
            </w:r>
          </w:p>
          <w:p>
            <w:pPr>
              <w:ind w:left="-284" w:right="-427"/>
              <w:jc w:val="both"/>
              <w:rPr>
                <w:rFonts/>
                <w:color w:val="262626" w:themeColor="text1" w:themeTint="D9"/>
              </w:rPr>
            </w:pPr>
            <w:r>
              <w:t>	Alectinib:</w:t>
            </w:r>
          </w:p>
          <w:p>
            <w:pPr>
              <w:ind w:left="-284" w:right="-427"/>
              <w:jc w:val="both"/>
              <w:rPr>
                <w:rFonts/>
                <w:color w:val="262626" w:themeColor="text1" w:themeTint="D9"/>
              </w:rPr>
            </w:pPr>
            <w:r>
              <w:t>		Abstract #44: LATE BREAKING ABSTRACT Safety and efficacy analysis of RO5424802/CH5424802 in anaplastic lymphoma kinase (ALK)-positive non-small cell lung cancer (NSCLC) patients who have failed crizotinib in a dose-finding phase I study (AF-002JG, NCT01588028). Proffered Papers Session, Monday, September 30, 11:22 – 11:34 in Room G104</w:t>
            </w:r>
          </w:p>
          <w:p>
            <w:pPr>
              <w:ind w:left="-284" w:right="-427"/>
              <w:jc w:val="both"/>
              <w:rPr>
                <w:rFonts/>
                <w:color w:val="262626" w:themeColor="text1" w:themeTint="D9"/>
              </w:rPr>
            </w:pPr>
            <w:r>
              <w:t>	MPDL3280A (Anti-PD-L1):</w:t>
            </w:r>
          </w:p>
          <w:p>
            <w:pPr>
              <w:ind w:left="-284" w:right="-427"/>
              <w:jc w:val="both"/>
              <w:rPr>
                <w:rFonts/>
                <w:color w:val="262626" w:themeColor="text1" w:themeTint="D9"/>
              </w:rPr>
            </w:pPr>
            <w:r>
              <w:t>		Abstract #3408: Clinical activity, safety and biomarkers of PD-L1 blockade in non-small cell lung cancer (NSCLC): Additional analyses from a clinical study of the engineered antibody MPDL3280A (anti-PDL1). Proffered Papers Session, Sunday, September 29, 09:14 – 09:26 in Elicium 2</w:t>
            </w:r>
          </w:p>
          <w:p>
            <w:pPr>
              <w:ind w:left="-284" w:right="-427"/>
              <w:jc w:val="both"/>
              <w:rPr>
                <w:rFonts/>
                <w:color w:val="262626" w:themeColor="text1" w:themeTint="D9"/>
              </w:rPr>
            </w:pPr>
            <w:r>
              <w:t>	Zelboraf:</w:t>
            </w:r>
          </w:p>
          <w:p>
            <w:pPr>
              <w:ind w:left="-284" w:right="-427"/>
              <w:jc w:val="both"/>
              <w:rPr>
                <w:rFonts/>
                <w:color w:val="262626" w:themeColor="text1" w:themeTint="D9"/>
              </w:rPr>
            </w:pPr>
            <w:r>
              <w:t>		Abstract #3703: Vemurafenib (VEM) and MEK inhibitor, cobimetinib (GDC-0973), in advanced BRAFV600-mutated melanoma (BRIM7): dose-escalation and expansion results of a phase IB study. Proffered papers session, Saturday, September 28, 12:15 – 12:27 in Elicium 1</w:t>
            </w:r>
          </w:p>
          <w:p>
            <w:pPr>
              <w:ind w:left="-284" w:right="-427"/>
              <w:jc w:val="both"/>
              <w:rPr>
                <w:rFonts/>
                <w:color w:val="262626" w:themeColor="text1" w:themeTint="D9"/>
              </w:rPr>
            </w:pPr>
            <w:r>
              <w:t>		Abstract #28: LATE BREAKING ABSTRACT An open label, multi-center phase 2 study of the BRAF inhibitor vemurafenib in patients with metastatic or unresectable papillary thyroid cancer positive for the BRAF V600 mutation and resistant to radioactive iodine (nct01286753, no25530). Proffered Papers Session, Saturday, September 28, 17:50 – 18:02 in Hall 3.1 </w:t>
            </w:r>
          </w:p>
          <w:p>
            <w:pPr>
              <w:ind w:left="-284" w:right="-427"/>
              <w:jc w:val="both"/>
              <w:rPr>
                <w:rFonts/>
                <w:color w:val="262626" w:themeColor="text1" w:themeTint="D9"/>
              </w:rPr>
            </w:pPr>
            <w:r>
              <w:t>	Avastin: </w:t>
            </w:r>
          </w:p>
          <w:p>
            <w:pPr>
              <w:ind w:left="-284" w:right="-427"/>
              <w:jc w:val="both"/>
              <w:rPr>
                <w:rFonts/>
                <w:color w:val="262626" w:themeColor="text1" w:themeTint="D9"/>
              </w:rPr>
            </w:pPr>
            <w:r>
              <w:t>		Abstract #6: LATE BREAKING ABSTRACT ICON7: Final overall survival results in the GCIG phase III randomized trial of bevacizumab in women with newly diagnosed ovarian cancer. Presidential Session, Sunday, September 29, 14:05 – 14:15 in Hall 7.1</w:t>
            </w:r>
          </w:p>
          <w:p>
            <w:pPr>
              <w:ind w:left="-284" w:right="-427"/>
              <w:jc w:val="both"/>
              <w:rPr>
                <w:rFonts/>
                <w:color w:val="262626" w:themeColor="text1" w:themeTint="D9"/>
              </w:rPr>
            </w:pPr>
            <w:r>
              <w:t>		Abstract #5: LATE BREAKING ABSTRACT Final overall survival (OS) results from AURELIA, an open-label randomised phase III trial of chemotherapy (CT) with or without bevacizumab (BEV) for platinum-resistant recurrent ovarian cancer (OC). Presidential Session, Sunday, September 29, 13:55 – 14:05 in Hall 7.1 </w:t>
            </w:r>
          </w:p>
          <w:p>
            <w:pPr>
              <w:ind w:left="-284" w:right="-427"/>
              <w:jc w:val="both"/>
              <w:rPr>
                <w:rFonts/>
                <w:color w:val="262626" w:themeColor="text1" w:themeTint="D9"/>
              </w:rPr>
            </w:pPr>
            <w:r>
              <w:t>		Abstract #42: LATE BREAKING ABSTRACT Patient reported outcomes in a practice changing randomized trial of bevacizumab in the treatment of advanced cervical cancer: A gynecologic oncology group study. Proffered Papers Session, Tuesday, October 1, 11:05 – 11:17 in Hall 7.2</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enfermedades infecciosas, inflamación, metabolismo y neurociencias. Roche también es líder mundial en diagnóstico in vitro y diagnóstico histológico del cáncer, así como compañía pionera en el control de la diabetes. La estrategia de Roche en medicina personalizada tiene como fin proporcionar medicamentos y herramientas diagnósticas que hagan posible mejoras tangibles de la salud, la calidad de vida y la esperanza de vida de los pacientes. En el año 2012, Roche tenía más de 82.000 empleados en todo el mundo e invirtió más de 8.000 millones de francos suizos en investigación y desarrollo. Las ventas del Grupo alcanzaron la cifra de 45.500 millones de francos suizos. Genentech (Estados Unidos) es un miembro de plena propiedad del Grupo Roche y la compañía es el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Síguenos en Twitter Roche_spain </w:t>
            </w:r>
          </w:p>
          <w:p>
            <w:pPr>
              <w:ind w:left="-284" w:right="-427"/>
              <w:jc w:val="both"/>
              <w:rPr>
                <w:rFonts/>
                <w:color w:val="262626" w:themeColor="text1" w:themeTint="D9"/>
              </w:rPr>
            </w:pPr>
            <w:r>
              <w:t>	Manoli Domínguez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Tlf. 91 324 81 00                                                                     Tlf. 91 787 03 00  </w:t>
            </w:r>
          </w:p>
          <w:p>
            <w:pPr>
              <w:ind w:left="-284" w:right="-427"/>
              <w:jc w:val="both"/>
              <w:rPr>
                <w:rFonts/>
                <w:color w:val="262626" w:themeColor="text1" w:themeTint="D9"/>
              </w:rPr>
            </w:pPr>
            <w:r>
              <w:t>	Manuela.dominguez@roche.com                                              lpardo@plannermedia.com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https://www.notasdeprensa.es/roche-presentara-en-ecc-2013-datos-de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