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Toronto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Ripple Therapeutics anuncia un acuerdo de colaboración y opción de licencia con AbbVie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es desarrollar terapias de nueva generación para el tratamiento del glaucoma. Colaboración para aprovechar la experiencia de AbbVie en el cuidado de los ojos y la innovadora plataforma de administración de fármacos de Ripple para desarrollar implantes de liberación sostenida de fármacos de nueva generación para el tratamiento del glaucoma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Ripple Therapeutics ha anunciado hoy un acuerdo de colaboración y opción de licencia con AbbVie para desarrollar RTC-620, un implante intracameral de nueva generación, totalmente biodegradable, de liberación sostenida de fármacos, con capacidad de repetir la dosis para reducir la presión intraocular (PIO) en pacientes con glaucoma de ángulo abierto (GAA) o hipertensión ocular (HTO). Esta colaboración aprovecha la experiencia de AbbVie en el cuidado de los ojos y la innovadora plataforma de administración de fármacos de Ripple.</w:t>
            </w:r>
          </w:p>
          <w:p>
            <w:pPr>
              <w:ind w:left="-284" w:right="-427"/>
              <w:jc w:val="both"/>
              <w:rPr>
                <w:rFonts/>
                <w:color w:val="262626" w:themeColor="text1" w:themeTint="D9"/>
              </w:rPr>
            </w:pPr>
            <w:r>
              <w:t>La plataforma tecnológica patentada de Ripple se basa en el descubrimiento de que los fármacos pueden convertirse en productos farmacéuticos de liberación controlada sin utilizar polímeros ni excipientes. Estos profármacos patentados se someten a una erosión superficial que da lugar a una cinética de liberación de orden cero y son altamente personalizables para adaptar tanto la dosis como la duración del fármaco. Al no haber polímeros ni excipientes, una vez que el fármaco desaparece, el implante desaparece sin productos de degradación proinflamatorios, lo que permite repetir la dosis.</w:t>
            </w:r>
          </w:p>
          <w:p>
            <w:pPr>
              <w:ind w:left="-284" w:right="-427"/>
              <w:jc w:val="both"/>
              <w:rPr>
                <w:rFonts/>
                <w:color w:val="262626" w:themeColor="text1" w:themeTint="D9"/>
              </w:rPr>
            </w:pPr>
            <w:r>
              <w:t>"Nos complace asociarnos con AbbVie, líder mundial en terapéutica oftálmica", dijo Tom Reeves, Presidente y Director Ejecutivo de Ripple Therapeutics. "Al combinar nuestra plataforma de administración de fármacos con las capacidades de investigación, clínicas, regulatorias y comerciales de AbbVie, esperamos ofrecer un impacto significativo en las vidas de las personas que viven con glaucoma".</w:t>
            </w:r>
          </w:p>
          <w:p>
            <w:pPr>
              <w:ind w:left="-284" w:right="-427"/>
              <w:jc w:val="both"/>
              <w:rPr>
                <w:rFonts/>
                <w:color w:val="262626" w:themeColor="text1" w:themeTint="D9"/>
              </w:rPr>
            </w:pPr>
            <w:r>
              <w:t>Millones de personas padecen glaucoma, una de las principales causas de pérdida de visión. Se necesitan nuevas opciones de tratamiento para ayudar a los pacientes que se enfrentan al reto de las gotas tópicas o que corren riesgo de perder visión y buscan opciones de tratamiento alternativas.</w:t>
            </w:r>
          </w:p>
          <w:p>
            <w:pPr>
              <w:ind w:left="-284" w:right="-427"/>
              <w:jc w:val="both"/>
              <w:rPr>
                <w:rFonts/>
                <w:color w:val="262626" w:themeColor="text1" w:themeTint="D9"/>
              </w:rPr>
            </w:pPr>
            <w:r>
              <w:t>"En AbbVie, nos esforzamos por encontrar soluciones innovadoras para construir nuestra cartera de terapias de preservación de la vision", dijo el doctor Michael Robinson, Vicepresidente y Jefe del Área Terapéutica de Oftalmología de AbbVie. "Estamos encantados de asociarnos con Ripple para seguir avanzando en el desarrollo de RTC-620".</w:t>
            </w:r>
          </w:p>
          <w:p>
            <w:pPr>
              <w:ind w:left="-284" w:right="-427"/>
              <w:jc w:val="both"/>
              <w:rPr>
                <w:rFonts/>
                <w:color w:val="262626" w:themeColor="text1" w:themeTint="D9"/>
              </w:rPr>
            </w:pPr>
            <w:r>
              <w:t>Según los términos del acuerdo, Ripple dirigirá el desarrollo preclínico de RTC-620. Tras el ejercicio de la opción, AbbVie dirigirá las actividades clínicas y de comercialización. Ripple recibirá de AbbVie un pago inicial de 21,8 millones de dólares y podrá recibir hasta 290 millones de dólares en concepto de derechos de opción e hitos, así como cánones escalonados sobre las ventas netas.</w:t>
            </w:r>
          </w:p>
          <w:p>
            <w:pPr>
              <w:ind w:left="-284" w:right="-427"/>
              <w:jc w:val="both"/>
              <w:rPr>
                <w:rFonts/>
                <w:color w:val="262626" w:themeColor="text1" w:themeTint="D9"/>
              </w:rPr>
            </w:pPr>
            <w:r>
              <w:t>Sobre Ripple TherapeuticsRipple Therapeutics Corporation es una empresa privada en fase clínica centrada en la mejora de la terapéutica oftálmica con implantes de administración sostenida controlable sin el uso de polímeros o excipientes. Nuestra novedosa terapéutica proporciona mejores resultados a los pacientes, facilita la gestión de la atención a los médicos y reduce los costes para los pagadores. www.rippletherapeutics.com</w:t>
            </w:r>
          </w:p>
          <w:p>
            <w:pPr>
              <w:ind w:left="-284" w:right="-427"/>
              <w:jc w:val="both"/>
              <w:rPr>
                <w:rFonts/>
                <w:color w:val="262626" w:themeColor="text1" w:themeTint="D9"/>
              </w:rPr>
            </w:pPr>
            <w:r>
              <w:t>Piper Sandler actuó como asesor financiero exclusivo de Ripple.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Julie Fotheringham</w:t>
      </w:r>
    </w:p>
    <w:p w:rsidR="00C31F72" w:rsidRDefault="00C31F72" w:rsidP="00AB63FE">
      <w:pPr>
        <w:pStyle w:val="Sinespaciado"/>
        <w:spacing w:line="276" w:lineRule="auto"/>
        <w:ind w:left="-284"/>
        <w:rPr>
          <w:rFonts w:ascii="Arial" w:hAnsi="Arial" w:cs="Arial"/>
        </w:rPr>
      </w:pPr>
      <w:r>
        <w:rPr>
          <w:rFonts w:ascii="Arial" w:hAnsi="Arial" w:cs="Arial"/>
        </w:rPr>
        <w:t>Ripple Therapeutics</w:t>
      </w:r>
    </w:p>
    <w:p w:rsidR="00AB63FE" w:rsidRDefault="00C31F72" w:rsidP="00AB63FE">
      <w:pPr>
        <w:pStyle w:val="Sinespaciado"/>
        <w:spacing w:line="276" w:lineRule="auto"/>
        <w:ind w:left="-284"/>
        <w:rPr>
          <w:rFonts w:ascii="Arial" w:hAnsi="Arial" w:cs="Arial"/>
        </w:rPr>
      </w:pPr>
      <w:r>
        <w:rPr>
          <w:rFonts w:ascii="Arial" w:hAnsi="Arial" w:cs="Arial"/>
        </w:rPr>
        <w:t>416-951-7988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https://www.notasdeprensa.es/ripple-therapeutics-anuncia-un-acuerdo-de_1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Investigación Científica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