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Bogotá el 29/08/2024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Ricardo Ramos D’Agostino lanza un análisis sobre casos de arbitraje internacional en energía renovable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Ricardo Ramos D’Agostino, abogado especializado en derecho internacional y energía, lanza un análisis sobre la creciente importancia del arbitraje internacional en el sector de energías renovables y su impacto en la resolución de disputas globales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Ricardo Ramos D’Agostino ha lanzado un exhaustivo análisis sobre los casos de arbitraje internacional en el sector de la energía renovable, subrayando cómo este mecanismo se ha convertido en una herramienta fundamental para resolver disputas en un mercado en rápida expansión. </w:t>
            </w:r>
          </w:p>
          <w:p>
            <w:pPr>
              <w:ind w:left="-284" w:right="-427"/>
              <w:jc w:val="both"/>
              <w:rPr>
                <w:rFonts/>
                <w:color w:val="262626" w:themeColor="text1" w:themeTint="D9"/>
              </w:rPr>
            </w:pPr>
            <w:r>
              <w:t>A medida que más países adoptan políticas energéticas sostenibles, la inversión internacional en energías limpias ha crecido significativamente, lo que ha llevado a un aumento de las disputas transfronterizas.</w:t>
            </w:r>
          </w:p>
          <w:p>
            <w:pPr>
              <w:ind w:left="-284" w:right="-427"/>
              <w:jc w:val="both"/>
              <w:rPr>
                <w:rFonts/>
                <w:color w:val="262626" w:themeColor="text1" w:themeTint="D9"/>
              </w:rPr>
            </w:pPr>
            <w:r>
              <w:t>En este contexto, Ricardo Ramos D’Agostino destaca que el arbitraje internacional ofrece una solución eficiente y especializada, permitiendo a las partes resolver conflictos complejos que involucran múltiples jurisdicciones y normativas. </w:t>
            </w:r>
          </w:p>
          <w:p>
            <w:pPr>
              <w:ind w:left="-284" w:right="-427"/>
              <w:jc w:val="both"/>
              <w:rPr>
                <w:rFonts/>
                <w:color w:val="262626" w:themeColor="text1" w:themeTint="D9"/>
              </w:rPr>
            </w:pPr>
            <w:r>
              <w:t>Según su análisis, el arbitraje se está consolidando como la vía preferida para la resolución de conflictos en este sector, debido a su capacidad para manejar la diversidad legal y las dinámicas en constante evolución de la industria energética.</w:t>
            </w:r>
          </w:p>
          <w:p>
            <w:pPr>
              <w:ind w:left="-284" w:right="-427"/>
              <w:jc w:val="both"/>
              <w:rPr>
                <w:rFonts/>
                <w:color w:val="262626" w:themeColor="text1" w:themeTint="D9"/>
              </w:rPr>
            </w:pPr>
            <w:r>
              <w:t>Ricardo Ramos D’Agostino: principales desafíos en el arbitraje de energía renovableUno de los mayores desafíos identificados por Ricardo Ramos D’Agostino en su análisis es la heterogeneidad de las legislaciones nacionales en materia de energía. </w:t>
            </w:r>
          </w:p>
          <w:p>
            <w:pPr>
              <w:ind w:left="-284" w:right="-427"/>
              <w:jc w:val="both"/>
              <w:rPr>
                <w:rFonts/>
                <w:color w:val="262626" w:themeColor="text1" w:themeTint="D9"/>
              </w:rPr>
            </w:pPr>
            <w:r>
              <w:t>Esta diversidad legal puede complicar la resolución de disputas, especialmente en contratos internacionales donde intervienen múltiples países con regulaciones diferentes. </w:t>
            </w:r>
          </w:p>
          <w:p>
            <w:pPr>
              <w:ind w:left="-284" w:right="-427"/>
              <w:jc w:val="both"/>
              <w:rPr>
                <w:rFonts/>
                <w:color w:val="262626" w:themeColor="text1" w:themeTint="D9"/>
              </w:rPr>
            </w:pPr>
            <w:r>
              <w:t>Sin embargo, el análisis muestra cómo el arbitraje internacional se adapta a estas complejidades, proporcionando un marco flexible que permite a las partes encontrar soluciones equitativas.</w:t>
            </w:r>
          </w:p>
          <w:p>
            <w:pPr>
              <w:ind w:left="-284" w:right="-427"/>
              <w:jc w:val="both"/>
              <w:rPr>
                <w:rFonts/>
                <w:color w:val="262626" w:themeColor="text1" w:themeTint="D9"/>
              </w:rPr>
            </w:pPr>
            <w:r>
              <w:t>Otro aspecto destacado es la rápida evolución del sector de la energía renovable. Las tecnologías avanzan a un ritmo acelerado, y las políticas gubernamentales cambian constantemente, generando incertidumbres que pueden derivar en disputas contractuales. </w:t>
            </w:r>
          </w:p>
          <w:p>
            <w:pPr>
              <w:ind w:left="-284" w:right="-427"/>
              <w:jc w:val="both"/>
              <w:rPr>
                <w:rFonts/>
                <w:color w:val="262626" w:themeColor="text1" w:themeTint="D9"/>
              </w:rPr>
            </w:pPr>
            <w:r>
              <w:t>Ricardo Ramos D’Agostino enfatiza que el arbitraje internacional no solo proporciona un mecanismo eficiente para resolver estas disputas, sino que también ofrece predictibilidad y estabilidad a los inversores, lo que es esencial para el desarrollo de proyectos sostenibles.</w:t>
            </w:r>
          </w:p>
          <w:p>
            <w:pPr>
              <w:ind w:left="-284" w:right="-427"/>
              <w:jc w:val="both"/>
              <w:rPr>
                <w:rFonts/>
                <w:color w:val="262626" w:themeColor="text1" w:themeTint="D9"/>
              </w:rPr>
            </w:pPr>
            <w:r>
              <w:t>Casos relevantes y tendencias actuales según Ricardo Ramos D’AgostinoEl análisis de Ricardo Ramos D’Agostino incluye varios casos emblemáticos de arbitraje en energía renovable que han sido fundamentales para la viabilidad de importantes proyectos internacionales. </w:t>
            </w:r>
          </w:p>
          <w:p>
            <w:pPr>
              <w:ind w:left="-284" w:right="-427"/>
              <w:jc w:val="both"/>
              <w:rPr>
                <w:rFonts/>
                <w:color w:val="262626" w:themeColor="text1" w:themeTint="D9"/>
              </w:rPr>
            </w:pPr>
            <w:r>
              <w:t>Entre estos casos, destacan disputas relacionadas con la regulación de tarifas energéticas y la implementación de proyectos de gran envergadura. </w:t>
            </w:r>
          </w:p>
          <w:p>
            <w:pPr>
              <w:ind w:left="-284" w:right="-427"/>
              <w:jc w:val="both"/>
              <w:rPr>
                <w:rFonts/>
                <w:color w:val="262626" w:themeColor="text1" w:themeTint="D9"/>
              </w:rPr>
            </w:pPr>
            <w:r>
              <w:t>En estos ejemplos, el arbitraje permitió una resolución más rápida y menos costosa en comparación con los tribunales tradicionales, lo que contribuyó al éxito de los proyectos involucrados.</w:t>
            </w:r>
          </w:p>
          <w:p>
            <w:pPr>
              <w:ind w:left="-284" w:right="-427"/>
              <w:jc w:val="both"/>
              <w:rPr>
                <w:rFonts/>
                <w:color w:val="262626" w:themeColor="text1" w:themeTint="D9"/>
              </w:rPr>
            </w:pPr>
            <w:r>
              <w:t>El análisis también resalta la creciente inclusión de cláusulas de arbitraje en los contratos de energía renovable. </w:t>
            </w:r>
          </w:p>
          <w:p>
            <w:pPr>
              <w:ind w:left="-284" w:right="-427"/>
              <w:jc w:val="both"/>
              <w:rPr>
                <w:rFonts/>
                <w:color w:val="262626" w:themeColor="text1" w:themeTint="D9"/>
              </w:rPr>
            </w:pPr>
            <w:r>
              <w:t>Estas cláusulas garantizan que cualquier disputa relacionada con el contrato se resolverá mediante arbitraje, lo que brinda a las partes mayor seguridad jurídica y facilita la ejecución de proyectos a largo plazo.</w:t>
            </w:r>
          </w:p>
          <w:p>
            <w:pPr>
              <w:ind w:left="-284" w:right="-427"/>
              <w:jc w:val="both"/>
              <w:rPr>
                <w:rFonts/>
                <w:color w:val="262626" w:themeColor="text1" w:themeTint="D9"/>
              </w:rPr>
            </w:pPr>
            <w:r>
              <w:t>Ricardo Ramos D’Agostino: conclusiones y perspectivas futurasRicardo Ramos D’Agostino concluye su análisis señalando que el arbitraje internacional continuará desempeñando un papel crucial en el sector de la energía renovable, especialmente a medida que este mercado sigue expandiéndose y diversificándose. </w:t>
            </w:r>
          </w:p>
          <w:p>
            <w:pPr>
              <w:ind w:left="-284" w:right="-427"/>
              <w:jc w:val="both"/>
              <w:rPr>
                <w:rFonts/>
                <w:color w:val="262626" w:themeColor="text1" w:themeTint="D9"/>
              </w:rPr>
            </w:pPr>
            <w:r>
              <w:t>Con el aumento de las inversiones internacionales y la complejidad de las disputas transfronterizas, es probable que el arbitraje se especialice aún más, adaptándose a las necesidades particulares del sector.</w:t>
            </w:r>
          </w:p>
          <w:p>
            <w:pPr>
              <w:ind w:left="-284" w:right="-427"/>
              <w:jc w:val="both"/>
              <w:rPr>
                <w:rFonts/>
                <w:color w:val="262626" w:themeColor="text1" w:themeTint="D9"/>
              </w:rPr>
            </w:pPr>
            <w:r>
              <w:t>En este sentido, Ricardo Ramos D’Agostino prevé que en el futuro se desarrollarán nuevas reglas y tribunales especializados en arbitraje de energía renovable, lo que facilitará la resolución de conflictos y fomentará un entorno de inversión más seguro y atractivo para todas las partes involucradas.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 COMMUNICATION</w:t>
      </w:r>
    </w:p>
    <w:p w:rsidR="00C31F72" w:rsidRDefault="00C31F72" w:rsidP="00AB63FE">
      <w:pPr>
        <w:pStyle w:val="Sinespaciado"/>
        <w:spacing w:line="276" w:lineRule="auto"/>
        <w:ind w:left="-284"/>
        <w:rPr>
          <w:rFonts w:ascii="Arial" w:hAnsi="Arial" w:cs="Arial"/>
        </w:rPr>
      </w:pPr>
      <w:r>
        <w:rPr>
          <w:rFonts w:ascii="Arial" w:hAnsi="Arial" w:cs="Arial"/>
        </w:rPr>
        <w:t>PR Ricardo Ramos</w:t>
      </w:r>
    </w:p>
    <w:p w:rsidR="00AB63FE" w:rsidRDefault="00C31F72" w:rsidP="00AB63FE">
      <w:pPr>
        <w:pStyle w:val="Sinespaciado"/>
        <w:spacing w:line="276" w:lineRule="auto"/>
        <w:ind w:left="-284"/>
        <w:rPr>
          <w:rFonts w:ascii="Arial" w:hAnsi="Arial" w:cs="Arial"/>
        </w:rPr>
      </w:pPr>
      <w:r>
        <w:rPr>
          <w:rFonts w:ascii="Arial" w:hAnsi="Arial" w:cs="Arial"/>
        </w:rPr>
        <w:t>644945233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https://www.notasdeprensa.es/ricardo-ramos-d-agostino-lanza-un-analisis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Derecho Finanzas Sostenibilidad Otras Industrias Sector Energético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