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Revenga Smart Solutions gana licitaciones por 50 millones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adjudicaciones de los sistemas del AVE Murcia-Almería (46 M€) y de los sistemas de peaje en 12 estaciones de la red de Metro de Madrid (4,1 M€), elevan la cartera de proyectos hasta 150,2 M€, máximo histórico para RSS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Revenga Smart Solutions (BME:RSS) ha resultado adjudicataria en licitaciones de referencia de ADIF y Metro de Madrid, y ha recibido importantes reconocimientos durante el Q2 de 2024.</w:t>
            </w:r>
          </w:p>
          <w:p>
            <w:pPr>
              <w:ind w:left="-284" w:right="-427"/>
              <w:jc w:val="both"/>
              <w:rPr>
                <w:rFonts/>
                <w:color w:val="262626" w:themeColor="text1" w:themeTint="D9"/>
              </w:rPr>
            </w:pPr>
            <w:r>
              <w:t>AdjudicacionesADIF anunció el 6 de junio que la UTE formada por Revenga, CAF y FCC ha resultado adjudicataria en la licitación abierta para llevar a cabo el despliegue de la señalización y la gestión del tráfico ferroviario en el tramo de AVE Madrid-Almería. Con la ejecución de este contrato se dotará a la nueva línea de 200 km y al ramal Pulpí-Águilas de equipos de última tecnología para gestionar el tráfico de trenes en remoto y en tiempo real. El contrato adjudicado a la UTE incluye el mantenimiento de todos los sistemas y equipos durante cuatro años.</w:t>
            </w:r>
          </w:p>
          <w:p>
            <w:pPr>
              <w:ind w:left="-284" w:right="-427"/>
              <w:jc w:val="both"/>
              <w:rPr>
                <w:rFonts/>
                <w:color w:val="262626" w:themeColor="text1" w:themeTint="D9"/>
              </w:rPr>
            </w:pPr>
            <w:r>
              <w:t>La participación en la UTE de RSS (25%) asciende a 46 millones de euros. Del total de los ingresos, 43 millones corresponden a la ejecución de los trabajos que se desarrollarán durante lo que resta de 2024 y hasta 2028 incluido. Los 3 millones restantes corresponden a los trabajos de mantenimiento a realizar desde 2026 a 2029. Estos 3 millones de mantenimiento se suman a otros contratos ya existentes para alcanzar una cartera de 50 millones de euros en ingresos recurrentes.</w:t>
            </w:r>
          </w:p>
          <w:p>
            <w:pPr>
              <w:ind w:left="-284" w:right="-427"/>
              <w:jc w:val="both"/>
              <w:rPr>
                <w:rFonts/>
                <w:color w:val="262626" w:themeColor="text1" w:themeTint="D9"/>
              </w:rPr>
            </w:pPr>
            <w:r>
              <w:t>Asimismo, Metro de Madrid ha hecho oficial el resultado de la licitación para el suministro e instalación de equipos de peaje en modelo de estación E 4.0 para 12 estaciones, dentro de su plan de accesibilidad y modernización, siendo Revenga adjudicataria del lote 1, por importe superior a 4.171.000 euros. La duración de los trabajos se extenderá entre lo que resta del año 2024 y el año 2025.</w:t>
            </w:r>
          </w:p>
          <w:p>
            <w:pPr>
              <w:ind w:left="-284" w:right="-427"/>
              <w:jc w:val="both"/>
              <w:rPr>
                <w:rFonts/>
                <w:color w:val="262626" w:themeColor="text1" w:themeTint="D9"/>
              </w:rPr>
            </w:pPr>
            <w:r>
              <w:t>ReconocimientosEn el transcurso de la primera jornada del Foro Medcap, BME anunció que RSS será la compañía cotizada española que optará a los European Small  and  Mid-Cap Awards en la categoría "Star of Innovation".  Estos premios, organizados por la Comisión Europea, EuropeanIssuers y la Federación Europea de Bolsas (FESE) llevan una década promoviendo las buenas prácticas de las pequeñas y medianas empresas, así como animando a este tipo de compañías a dar el salto a los mercados financieros.</w:t>
            </w:r>
          </w:p>
          <w:p>
            <w:pPr>
              <w:ind w:left="-284" w:right="-427"/>
              <w:jc w:val="both"/>
              <w:rPr>
                <w:rFonts/>
                <w:color w:val="262626" w:themeColor="text1" w:themeTint="D9"/>
              </w:rPr>
            </w:pPr>
            <w:r>
              <w:t>Asimismo, en la Asamblea General del Pacto Mundial de la ONU en España, Revenga Smart Solutions fue galardonada con el Reconocimiento como "Pyme con mayor participación" por su fuerte compromiso con la iniciativa, respetando los derechos humanos y las normas laborales, preservando el medio ambiente y actuando con transparencia en sus actividades y operaciones. Otras empresas y entidades premiadas en el encuentro fueron la Fundación Rafael del Pino, Endesa, ADIF, BBVA e Iberdrola.</w:t>
            </w:r>
          </w:p>
          <w:p>
            <w:pPr>
              <w:ind w:left="-284" w:right="-427"/>
              <w:jc w:val="both"/>
              <w:rPr>
                <w:rFonts/>
                <w:color w:val="262626" w:themeColor="text1" w:themeTint="D9"/>
              </w:rPr>
            </w:pPr>
            <w:r>
              <w:t>"Estas importantes adjudicaciones y reconocimientos recibidos en las últimas semanas suponen muy buenas noticias. Todo ello constituye un incentivo para seguir trabajando con la misma intensidad para que nuestros stakeholders vean compensada su confianza y para el éxito de la estrategia de la empresa de cara a 2026, según el compromiso adquirido al salir a cotizar en el BME Growth el año pasado", comenta Arturo Revenga, consejero delegado de RSS.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ADM Media Relations</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https://www.notasdeprensa.es/revenga-smart-solutions-gana-licitaciones-por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Urbanismo Bolsa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