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anuales · Banco Sabadell obtiene un beneficio neto de 247,8 millones de euros que triplica el resultado 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Finalizado el año 2013 y cerrado el 132º ejercicio social, la cuenta de resultados consolidada de Banco Sabadell evidencia ya la inflexión anunciada al cierre del año anterior y presenta un beneficio neto de 247,8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resultado, obtenido tras efectuar dotaciones y provisiones por un total de 1.763,6 millones de euros, triplica el resultado conseguido en 2012 y supera ampliamente el consenso de mercado al cierre del cuarto trimestre.</w:t>
            </w:r>
          </w:p>
          <w:p>
            <w:pPr>
              <w:ind w:left="-284" w:right="-427"/>
              <w:jc w:val="both"/>
              <w:rPr>
                <w:rFonts/>
                <w:color w:val="262626" w:themeColor="text1" w:themeTint="D9"/>
              </w:rPr>
            </w:pPr>
            <w:r>
              <w:t>	Los datos anuales reflejan la fortaleza de un balance equilibrado, bien capitalizado y provisionado, y una cuenta de resultados que evidencia la consistencia del negocio ordinario y muestra ya la recuperación de los márgenes y la senda del crecimiento rentable.</w:t>
            </w:r>
          </w:p>
          <w:p>
            <w:pPr>
              <w:ind w:left="-284" w:right="-427"/>
              <w:jc w:val="both"/>
              <w:rPr>
                <w:rFonts/>
                <w:color w:val="262626" w:themeColor="text1" w:themeTint="D9"/>
              </w:rPr>
            </w:pPr>
            <w:r>
              <w:t>	Banco Sabadell ha cubierto en 2013 el último año del Plan CREA, puesto en marcha en 2011 y orientado a la transformación comercial y la productividad. El fuerte incremento de los volúmenes de negocio y la captación de nuevos clientes caracterizan un trienio complejo y muy intenso en el que la entidad ha logrado una sustancial expansión de sus cuotas de mercado, acorde con el cambio de perímetro protagonizado y el importante esfuerzo comercial que se ha llevado a cabo.</w:t>
            </w:r>
          </w:p>
          <w:p>
            <w:pPr>
              <w:ind w:left="-284" w:right="-427"/>
              <w:jc w:val="both"/>
              <w:rPr>
                <w:rFonts/>
                <w:color w:val="262626" w:themeColor="text1" w:themeTint="D9"/>
              </w:rPr>
            </w:pPr>
            <w:r>
              <w:t>	Balance y resultados</w:t>
            </w:r>
          </w:p>
          <w:p>
            <w:pPr>
              <w:ind w:left="-284" w:right="-427"/>
              <w:jc w:val="both"/>
              <w:rPr>
                <w:rFonts/>
                <w:color w:val="262626" w:themeColor="text1" w:themeTint="D9"/>
              </w:rPr>
            </w:pPr>
            <w:r>
              <w:t>	Al cierre del cuarto trimestre del ejercicio de 2013, los activos totales de Banco Sabadell y su grupo suman 163.441,5 millones de euros y crecen un 1,2% interanual con relación a los activos totales existentes al cierre del ejercicio de 2012. En las diferentes partidas que conforman el activo consolidado, destaca particularmente el crecimiento de la inversión crediticia bruta de clientes, cuyo total de 124.614,9 millones de euros aumenta un 4,2% de un año al otro al incluir los saldos aportados por BMN-Penedès, Lloyds España y Banco Gallego.</w:t>
            </w:r>
          </w:p>
          <w:p>
            <w:pPr>
              <w:ind w:left="-284" w:right="-427"/>
              <w:jc w:val="both"/>
              <w:rPr>
                <w:rFonts/>
                <w:color w:val="262626" w:themeColor="text1" w:themeTint="D9"/>
              </w:rPr>
            </w:pPr>
            <w:r>
              <w:t>	El componente con mayor peso en este epígrafe del balance del grupo es el de los préstamos con garantía hipotecaria, que, a 31 de diciembre de 2013, representan algo más de un 46% de la inversión crediticia, con un total de 57.580,0 millones de euros, un 3,7% más que al cierre del año anterior. El crédito comercial crece un 7,5% en el mismo período.</w:t>
            </w:r>
          </w:p>
          <w:p>
            <w:pPr>
              <w:ind w:left="-284" w:right="-427"/>
              <w:jc w:val="both"/>
              <w:rPr>
                <w:rFonts/>
                <w:color w:val="262626" w:themeColor="text1" w:themeTint="D9"/>
              </w:rPr>
            </w:pPr>
            <w:r>
              <w:t>	La reclasificación del crédito refinanciado y el mayor perímetro de consolidación hacen que la ratio de morosidad sobre el total de riesgos computables del grupo Banco Sabadell se sitúe en el 13,63% (el 11,13% sin reclasificaciones), no considerando los activos afectos al esquema de protección de activos (EPA) de Banco CAM. A 31 de diciembre, el saldo de mora se reduce en 64 millones de euros y empieza a dar señales de inflexión, al contabilizarse el cuarto trimestre seguido de ralentización en la entrada de activos problemáticos en el stock.</w:t>
            </w:r>
          </w:p>
          <w:p>
            <w:pPr>
              <w:ind w:left="-284" w:right="-427"/>
              <w:jc w:val="both"/>
              <w:rPr>
                <w:rFonts/>
                <w:color w:val="262626" w:themeColor="text1" w:themeTint="D9"/>
              </w:rPr>
            </w:pPr>
            <w:r>
              <w:t>	En 2013, la venta de inmuebles en balance se ha incrementado un 34% interanual y ha alcanzado los 3.120 millones de euros, un 20% más de lo previsto. En total, se han vendido 18.501 viviendas, un 16% más de lo presupuestado.</w:t>
            </w:r>
          </w:p>
          <w:p>
            <w:pPr>
              <w:ind w:left="-284" w:right="-427"/>
              <w:jc w:val="both"/>
              <w:rPr>
                <w:rFonts/>
                <w:color w:val="262626" w:themeColor="text1" w:themeTint="D9"/>
              </w:rPr>
            </w:pPr>
            <w:r>
              <w:t>	La cobertura sobre el total de la exposición crediticia y de la cartera de inmuebles es del 13,61% al cierre del ejercicio de 2013, una de las más elevadas del sector financiero español.</w:t>
            </w:r>
          </w:p>
          <w:p>
            <w:pPr>
              <w:ind w:left="-284" w:right="-427"/>
              <w:jc w:val="both"/>
              <w:rPr>
                <w:rFonts/>
                <w:color w:val="262626" w:themeColor="text1" w:themeTint="D9"/>
              </w:rPr>
            </w:pPr>
            <w:r>
              <w:t>	A 31 de diciembre de 2013, los recursos de clientes en balance suman 94.497,2 millones de euros y crecen un 17,9% con respecto al último trimestre de 2012. </w:t>
            </w:r>
          </w:p>
          <w:p>
            <w:pPr>
              <w:ind w:left="-284" w:right="-427"/>
              <w:jc w:val="both"/>
              <w:rPr>
                <w:rFonts/>
                <w:color w:val="262626" w:themeColor="text1" w:themeTint="D9"/>
              </w:rPr>
            </w:pPr>
            <w:r>
              <w:t>	Destaca en este apartado la favorable evolución de las cuentas a la vista, que crecen un 36,1% en el año y alcanzan un saldo de 36.862,5 millones de euros. Los depósitos a plazo también aumentan de forma significativa y totalizan 60.798,7 millones de euros al cierre anual, lo que supone un aumento del 13,6% en doce meses.</w:t>
            </w:r>
          </w:p>
          <w:p>
            <w:pPr>
              <w:ind w:left="-284" w:right="-427"/>
              <w:jc w:val="both"/>
              <w:rPr>
                <w:rFonts/>
                <w:color w:val="262626" w:themeColor="text1" w:themeTint="D9"/>
              </w:rPr>
            </w:pPr>
            <w:r>
              <w:t>	Banco Sabadell ha cerrado el ejercicio de 2013 con 6,5 millones de clientes. Durante el cuarto trimestre, se han captado un total de 116.849 nuevos clientes, a un ritmo de 8.900 altas por semana, de los que el 20% eran empresas.</w:t>
            </w:r>
          </w:p>
          <w:p>
            <w:pPr>
              <w:ind w:left="-284" w:right="-427"/>
              <w:jc w:val="both"/>
              <w:rPr>
                <w:rFonts/>
                <w:color w:val="262626" w:themeColor="text1" w:themeTint="D9"/>
              </w:rPr>
            </w:pPr>
            <w:r>
              <w:t>	El incremento de la base de clientes y los volúmenes de negocio se ha traducido asimismo en un aumento relevante de las cuotas de mercado. Así, en el segmento de particulares, han crecido las nóminas (+99 puntos básicos), el crédito a hogares (+118 puntos básicos) y la transaccionalidad (+145 puntos básicos), mientras que en el segmento de empresas destacan la facturación en TPV (+276 puntos básicos), el crédito comercial (+201 puntos básicos) y el crédito subvencionado (líneas ICO), que se ha acrecentado en 826 puntos básicos, ratificando así el liderazgo de Banco Sabadell en este tipo de crédito en España, con una cuota del 23,98% en financiación a la exportación.</w:t>
            </w:r>
          </w:p>
          <w:p>
            <w:pPr>
              <w:ind w:left="-284" w:right="-427"/>
              <w:jc w:val="both"/>
              <w:rPr>
                <w:rFonts/>
                <w:color w:val="262626" w:themeColor="text1" w:themeTint="D9"/>
              </w:rPr>
            </w:pPr>
            <w:r>
              <w:t>	Y todo ello sin menoscabo de la calidad de servicio, que se mantiene en un alto nivel, por encima de la media del sector (6,89 vs 6,03), según datos del análisis de calidad objetiva en redes comerciales bancarias del cuarto trimestre de 2013.</w:t>
            </w:r>
          </w:p>
          <w:p>
            <w:pPr>
              <w:ind w:left="-284" w:right="-427"/>
              <w:jc w:val="both"/>
              <w:rPr>
                <w:rFonts/>
                <w:color w:val="262626" w:themeColor="text1" w:themeTint="D9"/>
              </w:rPr>
            </w:pPr>
            <w:r>
              <w:t>	La diferente evolución de la inversión crediticia de clientes en relación con la captación de recursos de clientes ha permitido generar un gap o excedente de liquidez de 10.123,0 millones de euros durante el ejercicio de 2013 (+74% en los tres años del Plan CREA), reduciéndose paralelamente la proporción de créditos sobre depósitos o ratio LTD hasta el 107,3%, desde el 121,9% en diciembre de 2012 (el 135,0% al cierre de 2010, cuando se puso en marcha el Plan CREA).</w:t>
            </w:r>
          </w:p>
          <w:p>
            <w:pPr>
              <w:ind w:left="-284" w:right="-427"/>
              <w:jc w:val="both"/>
              <w:rPr>
                <w:rFonts/>
                <w:color w:val="262626" w:themeColor="text1" w:themeTint="D9"/>
              </w:rPr>
            </w:pPr>
            <w:r>
              <w:t>	El patrimonio en fondos y sociedades de inversión colectiva es de 11.018,6 millones de euros, un 28,3% más que el existente al cierre del ejercicio de 2012. Los fondos de pensiones y seguros comercializados presentan un saldo patrimonial de 12.423,6 millones de euros, un 12,7% superior al del cierre del ejercicio precedente.</w:t>
            </w:r>
          </w:p>
          <w:p>
            <w:pPr>
              <w:ind w:left="-284" w:right="-427"/>
              <w:jc w:val="both"/>
              <w:rPr>
                <w:rFonts/>
                <w:color w:val="262626" w:themeColor="text1" w:themeTint="D9"/>
              </w:rPr>
            </w:pPr>
            <w:r>
              <w:t>	El total de recursos gestionados, a 31 de diciembre de 2013, asciende a 149.122,9 millones de euros y aumenta un 13,3% interanual.</w:t>
            </w:r>
          </w:p>
          <w:p>
            <w:pPr>
              <w:ind w:left="-284" w:right="-427"/>
              <w:jc w:val="both"/>
              <w:rPr>
                <w:rFonts/>
                <w:color w:val="262626" w:themeColor="text1" w:themeTint="D9"/>
              </w:rPr>
            </w:pPr>
            <w:r>
              <w:t>	Márgenes y beneficios</w:t>
            </w:r>
          </w:p>
          <w:p>
            <w:pPr>
              <w:ind w:left="-284" w:right="-427"/>
              <w:jc w:val="both"/>
              <w:rPr>
                <w:rFonts/>
                <w:color w:val="262626" w:themeColor="text1" w:themeTint="D9"/>
              </w:rPr>
            </w:pPr>
            <w:r>
              <w:t>	Al cierre del ejercicio, la contribución del negocio de Banco CAM y de los negocios incorporados en 2013, así como la adecuada gestión de los diferenciales de clientes y el mayor margen aportado por la cartera de renta fija, han permitido paliar en buena medida los efectos que la negativa evolución de la curva de tipos y la reducción de los márgenes de clientes tuvieron en la cuenta de resultados consolidada durante el primer semestre del año.</w:t>
            </w:r>
          </w:p>
          <w:p>
            <w:pPr>
              <w:ind w:left="-284" w:right="-427"/>
              <w:jc w:val="both"/>
              <w:rPr>
                <w:rFonts/>
                <w:color w:val="262626" w:themeColor="text1" w:themeTint="D9"/>
              </w:rPr>
            </w:pPr>
            <w:r>
              <w:t>	Así, a 31 de diciembre de 2013, el margen de intereses totaliza 1.814,7 millones de euros y es un 2,9% inferior al obtenido en 2012. En el segundo semestre del ejercicio, este margen ha ido evolucionando al alza (+10%), en relación con el primer semestre, confirmándose así el cambio de tendencia esperado.</w:t>
            </w:r>
          </w:p>
          <w:p>
            <w:pPr>
              <w:ind w:left="-284" w:right="-427"/>
              <w:jc w:val="both"/>
              <w:rPr>
                <w:rFonts/>
                <w:color w:val="262626" w:themeColor="text1" w:themeTint="D9"/>
              </w:rPr>
            </w:pPr>
            <w:r>
              <w:t>	Los resultados de las empresas que consolidan por el método de la participación y los dividendos percibidos ascienden a 18,4 millones de euros en conjunto, con una significativa aportación del negocio de pensiones y seguros.</w:t>
            </w:r>
          </w:p>
          <w:p>
            <w:pPr>
              <w:ind w:left="-284" w:right="-427"/>
              <w:jc w:val="both"/>
              <w:rPr>
                <w:rFonts/>
                <w:color w:val="262626" w:themeColor="text1" w:themeTint="D9"/>
              </w:rPr>
            </w:pPr>
            <w:r>
              <w:t>	La favorable evolución de la actividad comercial y de los nuevos negocios incorporados al grupo permiten mejorar de forma continuada los ingresos por la prestación de servicios y la administración y gestión de patrimonios, de forma que las comisiones netas ascienden a 759,7 millones de euros y crecen un 20,8% en términos interanuales.</w:t>
            </w:r>
          </w:p>
          <w:p>
            <w:pPr>
              <w:ind w:left="-284" w:right="-427"/>
              <w:jc w:val="both"/>
              <w:rPr>
                <w:rFonts/>
                <w:color w:val="262626" w:themeColor="text1" w:themeTint="D9"/>
              </w:rPr>
            </w:pPr>
            <w:r>
              <w:t>	Los resultados por operaciones financieras se mantienen en un alto nivel y totalizan 1.479,2 millones de euros. Los ingresos netos por diferencias de cambio crecen un 13,3% interanual y suman 67,9 millones de euros.</w:t>
            </w:r>
          </w:p>
          <w:p>
            <w:pPr>
              <w:ind w:left="-284" w:right="-427"/>
              <w:jc w:val="both"/>
              <w:rPr>
                <w:rFonts/>
                <w:color w:val="262626" w:themeColor="text1" w:themeTint="D9"/>
              </w:rPr>
            </w:pPr>
            <w:r>
              <w:t>	Las dotaciones efectuadas al fondo de garantía de depósitos en 2013 ascienden a 135,4 millones de euros.</w:t>
            </w:r>
          </w:p>
          <w:p>
            <w:pPr>
              <w:ind w:left="-284" w:right="-427"/>
              <w:jc w:val="both"/>
              <w:rPr>
                <w:rFonts/>
                <w:color w:val="262626" w:themeColor="text1" w:themeTint="D9"/>
              </w:rPr>
            </w:pPr>
            <w:r>
              <w:t>	Con todo lo expuesto, el margen bruto es de 3.976,8 millones de euros, un 34,4% más que tras el cierre anual de 2012.</w:t>
            </w:r>
          </w:p>
          <w:p>
            <w:pPr>
              <w:ind w:left="-284" w:right="-427"/>
              <w:jc w:val="both"/>
              <w:rPr>
                <w:rFonts/>
                <w:color w:val="262626" w:themeColor="text1" w:themeTint="D9"/>
              </w:rPr>
            </w:pPr>
            <w:r>
              <w:t>	De un año a otro, y en términos de perímetro constante (incluyendo en 2012 Banco CAM desde el 1 de enero, BMN-Penedès desde el 1 de junio, Lloyds España desde el 1 de julio y Banco Gallego desde el 1 de noviembre), los gastos de explotación recurrentes de 2013 disminuyen un 12,5%. Los gastos de personal y generales del año 2013 ascienden a 1.686,1 millones de euros.</w:t>
            </w:r>
          </w:p>
          <w:p>
            <w:pPr>
              <w:ind w:left="-284" w:right="-427"/>
              <w:jc w:val="both"/>
              <w:rPr>
                <w:rFonts/>
                <w:color w:val="262626" w:themeColor="text1" w:themeTint="D9"/>
              </w:rPr>
            </w:pPr>
            <w:r>
              <w:t>	Al cierre del año, el significativo incremento del margen bruto y las políticas de contención de los costes de explotación aplicadas, permiten que la ratio de eficiencia mejore sustancialmente y sea del 47,64% (del 51,10% en 2012), sin incluir los ingresos extraordinarios de 437,3 millones de euros obtenidos por la venta de la cartera de inversión a vencimiento, incluidos en los resultados por operaciones financieras.</w:t>
            </w:r>
          </w:p>
          <w:p>
            <w:pPr>
              <w:ind w:left="-284" w:right="-427"/>
              <w:jc w:val="both"/>
              <w:rPr>
                <w:rFonts/>
                <w:color w:val="262626" w:themeColor="text1" w:themeTint="D9"/>
              </w:rPr>
            </w:pPr>
            <w:r>
              <w:t>	Teniendo en cuenta los datos expuestos, el grupo Banco Sabadell cierra 2013 con un margen antes de dotaciones (total ingresos menos gastos) de 2.062,3 millones de euros, un 59,9% superior al obtenido en 2012.</w:t>
            </w:r>
          </w:p>
          <w:p>
            <w:pPr>
              <w:ind w:left="-284" w:right="-427"/>
              <w:jc w:val="both"/>
              <w:rPr>
                <w:rFonts/>
                <w:color w:val="262626" w:themeColor="text1" w:themeTint="D9"/>
              </w:rPr>
            </w:pPr>
            <w:r>
              <w:t>	Las dotaciones para insolvencias y otros deterioros (de inmuebles y de activos financieros, principalmente) suman 1.763,6 millones de euros, una vez efectuada la revisión de la clasificación de riesgos refinanciados del perímetro Sabadell-CAM y BMN-Penedès.</w:t>
            </w:r>
          </w:p>
          <w:p>
            <w:pPr>
              <w:ind w:left="-284" w:right="-427"/>
              <w:jc w:val="both"/>
              <w:rPr>
                <w:rFonts/>
                <w:color w:val="262626" w:themeColor="text1" w:themeTint="D9"/>
              </w:rPr>
            </w:pPr>
            <w:r>
              <w:t>	Las plusvalías por ventas de activos en 2013 totalizan 43,9 millones de euros e incluyen la plusvalía neta de 25,6 millones de euros obtenida en diciembre de 2013 por la venta de la participación que Banco Sabadell tenía en Centro Financiero BHD de la República Dominicana.</w:t>
            </w:r>
          </w:p>
          <w:p>
            <w:pPr>
              <w:ind w:left="-284" w:right="-427"/>
              <w:jc w:val="both"/>
              <w:rPr>
                <w:rFonts/>
                <w:color w:val="262626" w:themeColor="text1" w:themeTint="D9"/>
              </w:rPr>
            </w:pPr>
            <w:r>
              <w:t>	Una vez aplicados el impuesto sobre beneficios y la parte del resultado correspondiente a minoritarios, resulta un beneficio neto atribuido al grupo de 247,8 millones de euros al cierre del año 2013, un 202,6% más que al cierre de 2012.</w:t>
            </w:r>
          </w:p>
          <w:p>
            <w:pPr>
              <w:ind w:left="-284" w:right="-427"/>
              <w:jc w:val="both"/>
              <w:rPr>
                <w:rFonts/>
                <w:color w:val="262626" w:themeColor="text1" w:themeTint="D9"/>
              </w:rPr>
            </w:pPr>
            <w:r>
              <w:t>	A 31 de diciembre de 2013, la ratio de core capital Tier 1 alcanza el 12,0%, frente al 10,4% un año antes. Anticipando ya la normativa de Basilea III esta ratio se situaría en el 10,1%. La ratio de solvencia BIS es ahora del 12,8% y sitúa a Banco Sabadell entre los grupos bancarios más solventes y fuertemente capitalizados.</w:t>
            </w:r>
          </w:p>
          <w:p>
            <w:pPr>
              <w:ind w:left="-284" w:right="-427"/>
              <w:jc w:val="both"/>
              <w:rPr>
                <w:rFonts/>
                <w:color w:val="262626" w:themeColor="text1" w:themeTint="D9"/>
              </w:rPr>
            </w:pPr>
            <w:r>
              <w:t>	Otros hechos destacados en el cuarto trimestre de 2013</w:t>
            </w:r>
          </w:p>
          <w:p>
            <w:pPr>
              <w:ind w:left="-284" w:right="-427"/>
              <w:jc w:val="both"/>
              <w:rPr>
                <w:rFonts/>
                <w:color w:val="262626" w:themeColor="text1" w:themeTint="D9"/>
              </w:rPr>
            </w:pPr>
            <w:r>
              <w:t>	El cuarto trimestre de 2013 ha sido especialmente intenso en operaciones y actuaciones corporativas. Así, Banco Sabadell ha formalizado la adquisición de Banco Gallego al Fondo de Reordenación Ordenada Bancaria (FROB) y ha cerrado con la compañía de seguros y reaseguros CASER la adquisición por 28,2 millones de euros de su participación del 75% en Banco Gallego Vida y Pensiones, pasando así a ser esta una sociedad 100% del grupo Banco Sabadell.</w:t>
            </w:r>
          </w:p>
          <w:p>
            <w:pPr>
              <w:ind w:left="-284" w:right="-427"/>
              <w:jc w:val="both"/>
              <w:rPr>
                <w:rFonts/>
                <w:color w:val="262626" w:themeColor="text1" w:themeTint="D9"/>
              </w:rPr>
            </w:pPr>
            <w:r>
              <w:t>	Por otra parte, Banco Sabadell ha vendido a Banca March la participación del 15,15% en Banco Inversis que poseía procedente de Banco CAM, por 34,2 millones de euros, con una plusvalía neta de 20,4 millones de euros.</w:t>
            </w:r>
          </w:p>
          <w:p>
            <w:pPr>
              <w:ind w:left="-284" w:right="-427"/>
              <w:jc w:val="both"/>
              <w:rPr>
                <w:rFonts/>
                <w:color w:val="262626" w:themeColor="text1" w:themeTint="D9"/>
              </w:rPr>
            </w:pPr>
            <w:r>
              <w:t>	Banco Sabadell, a través de su filial en Miami Sabadell United Bank, ha llegado también a un acuerdo con GNB Holdings Trust para la adquisición de JGB Bank, entidad que gestiona 530 millones de dólares en activos y 173 millones de dólares en créditos. El precio de la transacción se determinará definitivamente en el momento del cierre de la operación, previsto para el primer semestre de 2014, una vez obtenidas las correspondientes autorizaciones administrativas, si bien se estima en unos 56 millones de dólares.</w:t>
            </w:r>
          </w:p>
          <w:p>
            <w:pPr>
              <w:ind w:left="-284" w:right="-427"/>
              <w:jc w:val="both"/>
              <w:rPr>
                <w:rFonts/>
                <w:color w:val="262626" w:themeColor="text1" w:themeTint="D9"/>
              </w:rPr>
            </w:pPr>
            <w:r>
              <w:t>	Durante el cuarto trimestre, y, en el marco de la estrategia de desinversión en activos no estratégicos, Banco Sabadell ha acordado con diferentes inversores internacionales la venta de dos carteras de créditos íntegramente provisionados de un importe total de 632 millones de euros. Esta operación ha permitido transferir el riesgo de estas carteras, en su día incorporadas al balance de Banco Sabadell como consecuencia de la adquisición de Banco CAM, y ha generado una plusvalía bruta de 37,3 millones de euros.</w:t>
            </w:r>
          </w:p>
          <w:p>
            <w:pPr>
              <w:ind w:left="-284" w:right="-427"/>
              <w:jc w:val="both"/>
              <w:rPr>
                <w:rFonts/>
                <w:color w:val="262626" w:themeColor="text1" w:themeTint="D9"/>
              </w:rPr>
            </w:pPr>
            <w:r>
              <w:t>	Durante este último trimestre, Banco Sabadell ha acordado igualmente con un grupo de inversores ya accionistas de Centro Financiero BHD, S.A. la venta de su participación en Centro Financiero BHD, representativa del 15,8% del capital social tras la prevista fusión de Centro Financiero BHD, S.A. con el también dominicano Banco León. El precio total de la compraventa ha sido de 156,1 millones de dólares (equivalente a 114,3 millones de euros, aproximadamente) y ha generado una plusvalía neta de 25,6 millones de euros para Banco Sabadell. Centro Financiero BHD, S.A. estaba participado por Banco Sabadell desde junio de 1999 y la operación se inscribe en la reordenación de sus participaciones minoritarias en el área latinoamericana que Banco Sabadell está llevando a cabo.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https://www.notasdeprensa.es/resultados-anuales-banco-sabadell-obtiene-un_1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