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Repsol vende por 652 millones de euros parte de su negocio de gas canalizado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virtud de los acuerdos, se traspasan activos de gas canalizado a Gas Natural Distribución y a Redexis Gas.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 estas operaciones, la compañía supera los 1.000 millones de dólares en desinversiones de activos no estratégicos que anunció tras la compra de Talisman.</w:t>
            </w:r>
          </w:p>
          <w:p>
            <w:pPr>
              <w:ind w:left="-284" w:right="-427"/>
              <w:jc w:val="both"/>
              <w:rPr>
                <w:rFonts/>
                <w:color w:val="262626" w:themeColor="text1" w:themeTint="D9"/>
              </w:rPr>
            </w:pPr>
            <w:r>
              <w:t>		Con la adquisición de Talisman, Repsol ha duplicado su producción de hidrocarburos, y ha aumentado significativamente la cantidad y calidad de sus activos y diversificado geográficamente su portafolio, incrementando su presencia en países de la OCDE.</w:t>
            </w:r>
          </w:p>
          <w:p>
            <w:pPr>
              <w:ind w:left="-284" w:right="-427"/>
              <w:jc w:val="both"/>
              <w:rPr>
                <w:rFonts/>
                <w:color w:val="262626" w:themeColor="text1" w:themeTint="D9"/>
              </w:rPr>
            </w:pPr>
            <w:r>
              <w:t>	Repsol ha acordado con Gas Natural Distribución y con Redexis Gas la venta de parte de su negocio de gas canalizado. El precio del total de las diversas operaciones acordadas con ambas compañías asciende a 651,5 millones de euros, generando una plusvalía aproximada después de impuestos de 367 millones de euros. Los acuerdos, que se completarán en los primeros meses de 2016, quedan sujetos a la obtención de las correspondientes autorizaciones administrativas.</w:t>
            </w:r>
          </w:p>
          <w:p>
            <w:pPr>
              <w:ind w:left="-284" w:right="-427"/>
              <w:jc w:val="both"/>
              <w:rPr>
                <w:rFonts/>
                <w:color w:val="262626" w:themeColor="text1" w:themeTint="D9"/>
              </w:rPr>
            </w:pPr>
            <w:r>
              <w:t>	Tras estas operaciones, Repsol mantiene una cartera de instalaciones de gas canalizado con capacidad de suministro para 141.535 clientes, de carácter regional, con los que continuará con su operativa habitual.</w:t>
            </w:r>
          </w:p>
          <w:p>
            <w:pPr>
              <w:ind w:left="-284" w:right="-427"/>
              <w:jc w:val="both"/>
              <w:rPr>
                <w:rFonts/>
                <w:color w:val="262626" w:themeColor="text1" w:themeTint="D9"/>
              </w:rPr>
            </w:pPr>
            <w:r>
              <w:t>		Más de 1.000 millones de dólares en desinversiones de activos no estratégicos</w:t>
            </w:r>
          </w:p>
          <w:p>
            <w:pPr>
              <w:ind w:left="-284" w:right="-427"/>
              <w:jc w:val="both"/>
              <w:rPr>
                <w:rFonts/>
                <w:color w:val="262626" w:themeColor="text1" w:themeTint="D9"/>
              </w:rPr>
            </w:pPr>
            <w:r>
              <w:t>	Tras la venta parcial de su negocio de gas canalizado, Repsol supera el volumen de 1.000 millones de dólares en desinversiones en activos no estratégicos que anunció tras la compra de Talisman. Con la adquisición de la compañía canadiense, Repsol consiguió un importante aumento en la producción y la cantidad y calidad de sus activos, e inició un programa de optimización de su portafolio.</w:t>
            </w:r>
          </w:p>
          <w:p>
            <w:pPr>
              <w:ind w:left="-284" w:right="-427"/>
              <w:jc w:val="both"/>
              <w:rPr>
                <w:rFonts/>
                <w:color w:val="262626" w:themeColor="text1" w:themeTint="D9"/>
              </w:rPr>
            </w:pPr>
            <w:r>
              <w:t>	En línea con este programa, Repsol salió el pasado 25 de septiembre del accionariado de CLH tras la venta del 10% del capital de la compañía logística por 325 millones de euros. Adicionalmente, Repsol ha acordado la venta a BG Group de su participación en 3 bloques exploratorios del offshore canadiense.</w:t>
            </w:r>
          </w:p>
          <w:p>
            <w:pPr>
              <w:ind w:left="-284" w:right="-427"/>
              <w:jc w:val="both"/>
              <w:rPr>
                <w:rFonts/>
                <w:color w:val="262626" w:themeColor="text1" w:themeTint="D9"/>
              </w:rPr>
            </w:pPr>
            <w:r>
              <w:t>	Al mismo tiempo que acometía este programa de optimización de activos, Repsol ha alcanzado un récord de producción de 700.000 barriles equivalentes de petróleo al día, lo que supone un aumento del 97% respecto a los 355.000 barriles equivalentes de petróleo al día de media en 2014</w:t>
            </w:r>
          </w:p>
          <w:p>
            <w:pPr>
              <w:ind w:left="-284" w:right="-427"/>
              <w:jc w:val="both"/>
              <w:rPr>
                <w:rFonts/>
                <w:color w:val="262626" w:themeColor="text1" w:themeTint="D9"/>
              </w:rPr>
            </w:pPr>
            <w:r>
              <w:t>	Este hito ha sido posible gracias a la incorporación de nuevos proyectos de producción en Estados Unidos, Canadá, Sudeste Asiático, Latinoamérica y Noruega, derivados en gran parte de la adquisición de Talisman. La integración de la compañía canadiense también ha permitido a Repsol incrementar sus reservas un 55%, hasta alcanzar los 2.200 millones de barriles equivalentes de petróleo.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REPSOL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https://www.notasdeprensa.es/repsol-vende-por-652-millones-de-euros-parte_1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