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alcanza un beneficio neto de  807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beneficio neto de Repsol en el primer trimestre del año aumentó un 27,3% hasta alcanzar los 807 millones de euros. El resultado neto ajustado ascendió a 532 millones de euros, lo que refleja la buena marcha de los negocios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 cierre del primer trimestre, Repsol comenzó la explotación comercial del campo Kinteroni, en Perú,  que producirá inicialmente cerca de 20.000 barriles equivalentes de petróleo al día (bep/d) hasta duplicar este volumen en el año 2016.</w:t>
            </w:r>
          </w:p>
          <w:p>
            <w:pPr>
              <w:ind w:left="-284" w:right="-427"/>
              <w:jc w:val="both"/>
              <w:rPr>
                <w:rFonts/>
                <w:color w:val="262626" w:themeColor="text1" w:themeTint="D9"/>
              </w:rPr>
            </w:pPr>
            <w:r>
              <w:t>		La compañía  continuó con su exitosa actividad exploratoria, que le permitió el pasado año contabilizar una tasa de reemplazo de reservas del 275%, la tasa de reemplazo orgánica más alta de la historia de Repsol y la más alta del sector a nivel mundial en 2013.</w:t>
            </w:r>
          </w:p>
          <w:p>
            <w:pPr>
              <w:ind w:left="-284" w:right="-427"/>
              <w:jc w:val="both"/>
              <w:rPr>
                <w:rFonts/>
                <w:color w:val="262626" w:themeColor="text1" w:themeTint="D9"/>
              </w:rPr>
            </w:pPr>
            <w:r>
              <w:t>		El margen de refino en el trimestre fue de 3,9 dólares por barril, lo que demuestra la calidad de los activos de Repsol en un entorno caracterizado por el continuo descenso de los márgenes en Europa.</w:t>
            </w:r>
          </w:p>
          <w:p>
            <w:pPr>
              <w:ind w:left="-284" w:right="-427"/>
              <w:jc w:val="both"/>
              <w:rPr>
                <w:rFonts/>
                <w:color w:val="262626" w:themeColor="text1" w:themeTint="D9"/>
              </w:rPr>
            </w:pPr>
            <w:r>
              <w:t>		Al cierre del periodo, la deuda neta ascendía a 4.722 millones de euros, lo que supone un descenso del 12% respecto al cierre de 2013. Asimismo, Repsol cuenta con un alto nivel de liquidez.</w:t>
            </w:r>
          </w:p>
          <w:p>
            <w:pPr>
              <w:ind w:left="-284" w:right="-427"/>
              <w:jc w:val="both"/>
              <w:rPr>
                <w:rFonts/>
                <w:color w:val="262626" w:themeColor="text1" w:themeTint="D9"/>
              </w:rPr>
            </w:pPr>
            <w:r>
              <w:t>		Tras el cierre del trimestre, Repsol vendió el 11,86% del capital de YPF por 1.255 millones de dólares, con una plusvalía estimada antes de impuestos de 622 millones de dólares.</w:t>
            </w:r>
          </w:p>
          <w:p>
            <w:pPr>
              <w:ind w:left="-284" w:right="-427"/>
              <w:jc w:val="both"/>
              <w:rPr>
                <w:rFonts/>
                <w:color w:val="262626" w:themeColor="text1" w:themeTint="D9"/>
              </w:rPr>
            </w:pPr>
            <w:r>
              <w:t>		Repsol espera recibir hoy bonos de la República Argentina, como medio de pago de la compensación por la expropiación del 51% de las acciones de YPF e YPF Gas.</w:t>
            </w:r>
          </w:p>
          <w:p>
            <w:pPr>
              <w:ind w:left="-284" w:right="-427"/>
              <w:jc w:val="both"/>
              <w:rPr>
                <w:rFonts/>
                <w:color w:val="262626" w:themeColor="text1" w:themeTint="D9"/>
              </w:rPr>
            </w:pPr>
            <w:r>
              <w:t>	Repsol alcanzó en el primer trimestre del año un beneficio neto de 807 millones de euros, con una subida del 27,3%. El resultado neto ajustado, calculado en base a la valoración de los inventarios a coste de reposición (CCS), aumentó un 1,5% y ascendió a 532 millones de euros. </w:t>
            </w:r>
          </w:p>
          <w:p>
            <w:pPr>
              <w:ind w:left="-284" w:right="-427"/>
              <w:jc w:val="both"/>
              <w:rPr>
                <w:rFonts/>
                <w:color w:val="262626" w:themeColor="text1" w:themeTint="D9"/>
              </w:rPr>
            </w:pPr>
            <w:r>
              <w:t>	Este resultado se obtuvo en un entorno marcado por el descenso de los precios internacionales de crudo, la interrupción de las operaciones en Libia, la depreciación del euro frente al dólar y el mantenimiento de los márgenes de refino de la compañía frente al deterioro en Europa de dichos márgenes.</w:t>
            </w:r>
          </w:p>
          <w:p>
            <w:pPr>
              <w:ind w:left="-284" w:right="-427"/>
              <w:jc w:val="both"/>
              <w:rPr>
                <w:rFonts/>
                <w:color w:val="262626" w:themeColor="text1" w:themeTint="D9"/>
              </w:rPr>
            </w:pPr>
            <w:r>
              <w:t>	Durante el trimestre, la producción de hidrocarburos alcanzó los 342.000 barriles equivalentes de petróleo al día (bep/d), con cerca de 21.000 bep/d de nueva producción, que compensaron  parcialmente la pérdida coyuntural de actividad en Libia y Trinidad y Tobago.</w:t>
            </w:r>
          </w:p>
          <w:p>
            <w:pPr>
              <w:ind w:left="-284" w:right="-427"/>
              <w:jc w:val="both"/>
              <w:rPr>
                <w:rFonts/>
                <w:color w:val="262626" w:themeColor="text1" w:themeTint="D9"/>
              </w:rPr>
            </w:pPr>
            <w:r>
              <w:t>	A finales de marzo, Repsol puso en marcha Kinteroni en Perú, uno de los proyectos clave de su Plan Estratégico 2012-2016, que producirá inicialmente un total cercano a 20.000 barriles equivalentes de petróleo al día (bep/d) que se esperan duplicar en el año 2016. A esto hay que añadirle la conexión desde febrero de dos nuevos pozos en Sapinhoa (Brasil), que aportan actualmente a la compañía 15.000 bep/d de gran calidad que llegarán a los 45.000 bep/d en 2016. </w:t>
            </w:r>
          </w:p>
          <w:p>
            <w:pPr>
              <w:ind w:left="-284" w:right="-427"/>
              <w:jc w:val="both"/>
              <w:rPr>
                <w:rFonts/>
                <w:color w:val="262626" w:themeColor="text1" w:themeTint="D9"/>
              </w:rPr>
            </w:pPr>
            <w:r>
              <w:t>	Con la puesta en marcha de Kinteroni, Repsol ha iniciado la producción en siete de sus diez proyectos clave de crecimiento: Sapinhoa (Brasil), Midcontinent (EE.UU.), AROG (Rusia), Margarita-Huacaya (Bolivia), Lubina y Montanazo (España), Carabobo (Venezuela) y el citado Kinteroni (Perú). La compañía estima que el importante yacimiento de gas Cardón IV, en Venezuela, estará operativo antes de final de año, con lo que se añadirán en 2015 otros 22.000 bep/d a la producción de Repsol, con aumentos a lo largo de los próximos años. </w:t>
            </w:r>
          </w:p>
          <w:p>
            <w:pPr>
              <w:ind w:left="-284" w:right="-427"/>
              <w:jc w:val="both"/>
              <w:rPr>
                <w:rFonts/>
                <w:color w:val="262626" w:themeColor="text1" w:themeTint="D9"/>
              </w:rPr>
            </w:pPr>
            <w:r>
              <w:t>	Además, Repsol ha continuado con su exitosa actividad exploratoria, que le permitió contar en 2013 con una tasa de reemplazo de reservas del 275%, la tasa  orgánica más alta de la historia de la compañía y la más alta del sector en 2013. En los tres primeros meses del año, Repsol obtuvo un sondeo positivo en Gabi-1 (Rusia), con el que suma más de 50 descubrimientos en los últimos ocho años. Dentro de esta actividad, la compañía prevé perforar más de 30 pozos en 2014. </w:t>
            </w:r>
          </w:p>
          <w:p>
            <w:pPr>
              <w:ind w:left="-284" w:right="-427"/>
              <w:jc w:val="both"/>
              <w:rPr>
                <w:rFonts/>
                <w:color w:val="262626" w:themeColor="text1" w:themeTint="D9"/>
              </w:rPr>
            </w:pPr>
            <w:r>
              <w:t>	 En lo que respecta al negocio de Downstream, la calidad de los activos de la compañía ha permitido que mantenga su indicador de margen de refino en 3,9 dólares por barril, en un entorno caracterizado por el continuo descenso de los márgenes en Europa. Las importantes inversiones realizadas en las refinerías de Cartagena y Bilbao, que las han convertido en referentes para el sector, han permitido añadir 2,6 dólares por barril a estos márgenes. Por otro lado, la utilización de las unidades de conversión del sistema de refino de Repsol se situó en el 96,9% en línea con el mismo periodo del ejercicio anterior. </w:t>
            </w:r>
          </w:p>
          <w:p>
            <w:pPr>
              <w:ind w:left="-284" w:right="-427"/>
              <w:jc w:val="both"/>
              <w:rPr>
                <w:rFonts/>
                <w:color w:val="262626" w:themeColor="text1" w:themeTint="D9"/>
              </w:rPr>
            </w:pPr>
            <w:r>
              <w:t>	Del mismo modo, los negocios comerciales, GLP y Marketing, tuvieron un desempeño similar al primer trimestre de 2013, con un incremento del 4% en las ventas del negocio de Marketing España.  </w:t>
            </w:r>
          </w:p>
          <w:p>
            <w:pPr>
              <w:ind w:left="-284" w:right="-427"/>
              <w:jc w:val="both"/>
              <w:rPr>
                <w:rFonts/>
                <w:color w:val="262626" w:themeColor="text1" w:themeTint="D9"/>
              </w:rPr>
            </w:pPr>
            <w:r>
              <w:t>	Por su parte, en el negocio químico también se incrementaron las ventas, fundamentalmente en la química básica y además, se puso en valor la capacidad tecnológica y de ingeniería de la compañía con la venta a la china Jilin de una licencia para el uso de su tecnología y el proyecto de ingeniería básica con lo que podrán construir una planta de polioles flexibles y dos plantas de polioles poliméricos. Además de proporcionar esta tecnología de vanguardia, Repsol supervisará la construcción de las plantas.  </w:t>
            </w:r>
          </w:p>
          <w:p>
            <w:pPr>
              <w:ind w:left="-284" w:right="-427"/>
              <w:jc w:val="both"/>
              <w:rPr>
                <w:rFonts/>
                <w:color w:val="262626" w:themeColor="text1" w:themeTint="D9"/>
              </w:rPr>
            </w:pPr>
            <w:r>
              <w:t>	La actividad de Gas and Power de la compañía tuvo un gran comportamiento gracias a la flexibilidad de la planta de Canaport, que quedó fuera de la venta de activos de GNL a Shell. Además, Repsol incrementó su actividad de trading, obteniendo valor adicional con la misma.</w:t>
            </w:r>
          </w:p>
          <w:p>
            <w:pPr>
              <w:ind w:left="-284" w:right="-427"/>
              <w:jc w:val="both"/>
              <w:rPr>
                <w:rFonts/>
                <w:color w:val="262626" w:themeColor="text1" w:themeTint="D9"/>
              </w:rPr>
            </w:pPr>
            <w:r>
              <w:t>	 En cuanto al Grupo Gas Natural Fenosa, su contribución se mantuvo en línea con el mismo período de 2013. Los menores resultados de generación y distribución eléctrica en España, por la regulación aprobada en julio del año pasado, y en Latinoamérica, por la depreciación del dólar y las monedas locales se compensan en parte con mejores resultados de comercialización de electricidad. Desde el 1 de enero de este año, Gas Natural deja de contabilizarse en las cuentas del Grupo por el método de integración proporcional y pasa a consolidarse por puesta en equivalencia.  </w:t>
            </w:r>
          </w:p>
          <w:p>
            <w:pPr>
              <w:ind w:left="-284" w:right="-427"/>
              <w:jc w:val="both"/>
              <w:rPr>
                <w:rFonts/>
                <w:color w:val="262626" w:themeColor="text1" w:themeTint="D9"/>
              </w:rPr>
            </w:pPr>
            <w:r>
              <w:t>	Al cierre del periodo, la deuda neta ascendió a 4.722 millones de euros, lo que supone un descenso del 12% respecto al cierre de 2013. Asimismo, Repsol cuenta con un alto nivel de liquidez de 8.900 millones de euros.</w:t>
            </w:r>
          </w:p>
          <w:p>
            <w:pPr>
              <w:ind w:left="-284" w:right="-427"/>
              <w:jc w:val="both"/>
              <w:rPr>
                <w:rFonts/>
                <w:color w:val="262626" w:themeColor="text1" w:themeTint="D9"/>
              </w:rPr>
            </w:pPr>
            <w:r>
              <w:t>		Compensación por YPF</w:t>
            </w:r>
          </w:p>
          <w:p>
            <w:pPr>
              <w:ind w:left="-284" w:right="-427"/>
              <w:jc w:val="both"/>
              <w:rPr>
                <w:rFonts/>
                <w:color w:val="262626" w:themeColor="text1" w:themeTint="D9"/>
              </w:rPr>
            </w:pPr>
            <w:r>
              <w:t>	Repsol espera recibir hoy bonos de la República Argentina, como medio de pago de la compensación por la expropiación del 51% de las acciones de YPF e YPF Gas.</w:t>
            </w:r>
          </w:p>
          <w:p>
            <w:pPr>
              <w:ind w:left="-284" w:right="-427"/>
              <w:jc w:val="both"/>
              <w:rPr>
                <w:rFonts/>
                <w:color w:val="262626" w:themeColor="text1" w:themeTint="D9"/>
              </w:rPr>
            </w:pPr>
            <w:r>
              <w:t>	Por otro lado, en el día de ayer Repsol anunció la venta a Morgan Stanley el 11,86% del capital de YPF por 1.255 millones de dólares, con una plusvalía estimada antes de impuestos de 622 millones de dólares.</w:t>
            </w:r>
          </w:p>
          <w:p>
            <w:pPr>
              <w:ind w:left="-284" w:right="-427"/>
              <w:jc w:val="both"/>
              <w:rPr>
                <w:rFonts/>
                <w:color w:val="262626" w:themeColor="text1" w:themeTint="D9"/>
              </w:rPr>
            </w:pPr>
            <w:r>
              <w:t>	Tablas de resultados. PDF (40KB).</w:t>
            </w:r>
          </w:p>
          <w:p>
            <w:pPr>
              <w:ind w:left="-284" w:right="-427"/>
              <w:jc w:val="both"/>
              <w:rPr>
                <w:rFonts/>
                <w:color w:val="262626" w:themeColor="text1" w:themeTint="D9"/>
              </w:rPr>
            </w:pPr>
            <w:r>
              <w:t>	Este documento no constituye una oferta o invitación para adquirir o suscribir acciones de Repsol, de acuerdo con lo establecido en la Ley 24/1988, de 28 de julio, del Mercado de Valores y en su normativa de desarrollo. Asimismo, este documento no constituye una oferta de compra, de venta o de canje ni una solicitud de una oferta de compra, de venta o de canje de títulos valores en ninguna otra jurisdicción.</w:t>
            </w:r>
          </w:p>
          <w:p>
            <w:pPr>
              <w:ind w:left="-284" w:right="-427"/>
              <w:jc w:val="both"/>
              <w:rPr>
                <w:rFonts/>
                <w:color w:val="262626" w:themeColor="text1" w:themeTint="D9"/>
              </w:rPr>
            </w:pPr>
            <w:r>
              <w:t>	Este documento contiene información y afirmaciones o declaraciones que constituyen estimaciones o proyecciones de futuro sobre Repsol. Dichas estimaciones o proyecciones pueden incluir declaraciones sobre planes, objetivos y expectativas actuales, incluyendo declaraciones en relación con tendencias que afecten a la situación financiera de Repsol, ratios financieros, resultados operativos, negocios, estrategia, concentración geográfica, volúmenes de producción y reservas, gastos de capital, ahorros de costes, inversiones y políticas de dividendos. Dichas estimaciones o proyecciones pueden incluir también asunciones sobre futuras condiciones de tipo económico o de cualquier otro tipo, tales como los futuros precios del crudo u otros precios, márgenes de refino o marketing y tipos de cambio. Las estimaciones o proyecciones de futuro se identifican generalmente por el uso de términos como ?espera?, ?anticipa?, ?pronostica?, ?cree?, ?estima?, ?aprecia? y expresiones similares. Dichas declaraciones no constituyen garantías de un futuro cumplimiento, precios, márgenes, tipos de cambio o de cualquier otro suceso, y se encuentran sujetas a riesgos significativos, incertidumbres, cambios y otros factores que pueden estar fuera del control de Repsol o que pueden ser difíciles de prever. Entre tales riesgos e incertidumbres están aquellos factores y circunstancias identificadas en las comunicaciones y los documentos registrados por Repsol y sus filiales en la Comisión Nacional del Mercado de Valores en España, en la Comisión Nacional de Valores en Argentina, en la Securities and Exchange Commission de los Estados Unidos de América y en el resto de autoridades supervisoras de los mercados en los que se negocian los valores emitidos por Repsol y/o sus filiales.</w:t>
            </w:r>
          </w:p>
          <w:p>
            <w:pPr>
              <w:ind w:left="-284" w:right="-427"/>
              <w:jc w:val="both"/>
              <w:rPr>
                <w:rFonts/>
                <w:color w:val="262626" w:themeColor="text1" w:themeTint="D9"/>
              </w:rPr>
            </w:pPr>
            <w:r>
              <w:t>	Salvo en la medida que lo requiera la ley aplicable, Repsol no asume ninguna obligación -aun cuando se publiquen nuevos datos o se produzcan nuevos hechos- de informar públicamente de la actualización o revisión de estas manifestaciones de futuro.</w:t>
            </w:r>
          </w:p>
          <w:p>
            <w:pPr>
              <w:ind w:left="-284" w:right="-427"/>
              <w:jc w:val="both"/>
              <w:rPr>
                <w:rFonts/>
                <w:color w:val="262626" w:themeColor="text1" w:themeTint="D9"/>
              </w:rPr>
            </w:pPr>
            <w:r>
              <w:t>	La información incluida en este documento no ha sido verificada ni revisada por los auditores externos de Repsol.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https://www.notasdeprensa.es/repsol-alcanza-un-beneficio-neto-de-807_1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