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24/07/2014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Repsol alcanza un beneficio neto de 1.327 millones de euros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beneficio neto de Repsol durante los seis primeros meses del año alcanzó los 1.327 millones de euros, lo que representa un aumento del 47% respecto al mismo periodo del ejercicio anterior.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Los resultados reflejan la buena marcha de los negocios de la compañía, así como su exitosa gestión en el acuerdo de compensación por la expropiación de YPF.</w:t>
            </w:r>
          </w:p>
          <w:p>
            <w:pPr>
              <w:ind w:left="-284" w:right="-427"/>
              <w:jc w:val="both"/>
              <w:rPr>
                <w:rFonts/>
                <w:color w:val="262626" w:themeColor="text1" w:themeTint="D9"/>
              </w:rPr>
            </w:pPr>
            <w:r>
              <w:t>		La fortaleza de los negocios compensó el efecto de la parada coyuntural en Libia y permitió alcanzar un resultado neto ajustado de 922 millones de euros.</w:t>
            </w:r>
          </w:p>
          <w:p>
            <w:pPr>
              <w:ind w:left="-284" w:right="-427"/>
              <w:jc w:val="both"/>
              <w:rPr>
                <w:rFonts/>
                <w:color w:val="262626" w:themeColor="text1" w:themeTint="D9"/>
              </w:rPr>
            </w:pPr>
            <w:r>
              <w:t>		La actividad exploratoria en el área de Upstream ha permitido incorporar durante el ejercicio nueva producción de hidrocarburos en Brasil, Estados Unidos, Rusia, Perú, Bolivia y Trinidad y Tobago.</w:t>
            </w:r>
          </w:p>
          <w:p>
            <w:pPr>
              <w:ind w:left="-284" w:right="-427"/>
              <w:jc w:val="both"/>
              <w:rPr>
                <w:rFonts/>
                <w:color w:val="262626" w:themeColor="text1" w:themeTint="D9"/>
              </w:rPr>
            </w:pPr>
            <w:r>
              <w:t>		La compañía ha realizado en el semestre el mayor descubrimiento de los últimos dos años en Rusia, además de otros relevantes hallazgos de hidrocarburos en Trinidad y Tobago, Brasil y Alaska.</w:t>
            </w:r>
          </w:p>
          <w:p>
            <w:pPr>
              <w:ind w:left="-284" w:right="-427"/>
              <w:jc w:val="both"/>
              <w:rPr>
                <w:rFonts/>
                <w:color w:val="262626" w:themeColor="text1" w:themeTint="D9"/>
              </w:rPr>
            </w:pPr>
            <w:r>
              <w:t>		En el área de Downstream, el margen de refino en el semestre fue de 3,5 dólares por barril, un 9,4% más que en los seis primeros meses de 2013, lo que refleja la fortaleza de los activos de la compañía en un entorno de presión de los márgenes en Europa.</w:t>
            </w:r>
          </w:p>
          <w:p>
            <w:pPr>
              <w:ind w:left="-284" w:right="-427"/>
              <w:jc w:val="both"/>
              <w:rPr>
                <w:rFonts/>
                <w:color w:val="262626" w:themeColor="text1" w:themeTint="D9"/>
              </w:rPr>
            </w:pPr>
            <w:r>
              <w:t>		Al cierre del período, la deuda neta se situaba en 2.392 millones de euros, un 55,4% inferior a la del cierre de 2013. Además, la compañía mantiene una elevada liquidez, cifrada en 11.195 millones de euros.</w:t>
            </w:r>
          </w:p>
          <w:p>
            <w:pPr>
              <w:ind w:left="-284" w:right="-427"/>
              <w:jc w:val="both"/>
              <w:rPr>
                <w:rFonts/>
                <w:color w:val="262626" w:themeColor="text1" w:themeTint="D9"/>
              </w:rPr>
            </w:pPr>
            <w:r>
              <w:t>		Repsol abonó a sus accionistas un dividendo extraordinario de 1 euro por acción, al que se sumó el dividendo complementario que se abonó bajo la fórmula de Repsol Dividendo Flexible.</w:t>
            </w:r>
          </w:p>
          <w:p>
            <w:pPr>
              <w:ind w:left="-284" w:right="-427"/>
              <w:jc w:val="both"/>
              <w:rPr>
                <w:rFonts/>
                <w:color w:val="262626" w:themeColor="text1" w:themeTint="D9"/>
              </w:rPr>
            </w:pPr>
            <w:r>
              <w:t>		El pasado 30 de abril, el Consejo de Administración de Repsol aprobó una nueva estructura en la que destaca el nombramiento como Consejero Delegado del Grupo de Josu Jon Imaz San Miguel.</w:t>
            </w:r>
          </w:p>
          <w:p>
            <w:pPr>
              <w:ind w:left="-284" w:right="-427"/>
              <w:jc w:val="both"/>
              <w:rPr>
                <w:rFonts/>
                <w:color w:val="262626" w:themeColor="text1" w:themeTint="D9"/>
              </w:rPr>
            </w:pPr>
            <w:r>
              <w:t>	Repsol alcanzó en el primer semestre del año un beneficio neto de 1.327 millones de euros, con una subida del 47% respecto al mismo periodo de 2013, gracias, entre otros factores, a la buena marcha de los negocios de la compañía y a la exitosa gestión en el acuerdo por la expropiación de YPF.</w:t>
            </w:r>
          </w:p>
          <w:p>
            <w:pPr>
              <w:ind w:left="-284" w:right="-427"/>
              <w:jc w:val="both"/>
              <w:rPr>
                <w:rFonts/>
                <w:color w:val="262626" w:themeColor="text1" w:themeTint="D9"/>
              </w:rPr>
            </w:pPr>
            <w:r>
              <w:t>	El resultado neto ajustado, calculado en base a la valoración de los inventarios a coste de reposición (CCS), ascendió a 922 millones de euros, cifra muy similar a la del primer semestre del ejercicio anterior. La incorporación de nueva producción en el área Upstream, la fortaleza de los negocios que componen la unidad de Downstream y un mejor resultado del área corporativa compensaron el efecto que la parada coyuntural en Libia tuvo sobre el área de Upstream.</w:t>
            </w:r>
          </w:p>
          <w:p>
            <w:pPr>
              <w:ind w:left="-284" w:right="-427"/>
              <w:jc w:val="both"/>
              <w:rPr>
                <w:rFonts/>
                <w:color w:val="262626" w:themeColor="text1" w:themeTint="D9"/>
              </w:rPr>
            </w:pPr>
            <w:r>
              <w:t>	Durante el semestre, Repsol alcanzó un acuerdo de compensación por la expropiación de YPF e YPF Gas y recibió de la República Argentina bonos soberanos, que fueron vendidos a JP Morgan por casi 5.000 millones de dólares. Además de la venta de los bonos, Repsol se desprendió de la participación del 12,38% que mantenía en YPF por la que obtuvo otros 1.300 millones de dólares. </w:t>
            </w:r>
          </w:p>
          <w:p>
            <w:pPr>
              <w:ind w:left="-284" w:right="-427"/>
              <w:jc w:val="both"/>
              <w:rPr>
                <w:rFonts/>
                <w:color w:val="262626" w:themeColor="text1" w:themeTint="D9"/>
              </w:rPr>
            </w:pPr>
            <w:r>
              <w:t>	El positivo desempeño de Repsol y su solidez financiera fueron reconocidos por las agencias internacionales de rating, que han revisado al alza las calificaciones crediticias de la compañía. Además de esta mejora, los analistas han reflejado el potencial de la compañía con aumentos en las recomendaciones y precios objetivo que tienen sobre Repsol.</w:t>
            </w:r>
          </w:p>
          <w:p>
            <w:pPr>
              <w:ind w:left="-284" w:right="-427"/>
              <w:jc w:val="both"/>
              <w:rPr>
                <w:rFonts/>
                <w:color w:val="262626" w:themeColor="text1" w:themeTint="D9"/>
              </w:rPr>
            </w:pPr>
            <w:r>
              <w:t>	En la actualidad, el 97,6% de los analistas que siguen a la compañía recomiendan comprar o mantener sus acciones, lo que supone la mayor proporción de recomendaciones positivas entre las grandes petroleras europeas1. Asimismo, el precio medio objetivo de la acción recomendado por los analistas se ha incrementado en un 5% en el primer semestre del año hasta los 21,45 euros.</w:t>
            </w:r>
          </w:p>
          <w:p>
            <w:pPr>
              <w:ind w:left="-284" w:right="-427"/>
              <w:jc w:val="both"/>
              <w:rPr>
                <w:rFonts/>
                <w:color w:val="262626" w:themeColor="text1" w:themeTint="D9"/>
              </w:rPr>
            </w:pPr>
            <w:r>
              <w:t>	El Consejo de Administración de Repsol, a propuesta de su Presidente, acordó tras la exitosa gestión de la recuperación del valor de YPF el reparto de un dividendo extraordinario de un euro bruto por acción. Esta retribución se sumó al abono del dividendo complementario correspondiente al ejercicio 2013 bajo la fórmula de Repsol Dividendo Flexible. En este último pago, el 75,84% del capital de la compañía acordó recibir el dividendo en acciones, una muestra más de su confianza por el futuro de la empresa.</w:t>
            </w:r>
          </w:p>
          <w:p>
            <w:pPr>
              <w:ind w:left="-284" w:right="-427"/>
              <w:jc w:val="both"/>
              <w:rPr>
                <w:rFonts/>
                <w:color w:val="262626" w:themeColor="text1" w:themeTint="D9"/>
              </w:rPr>
            </w:pPr>
            <w:r>
              <w:t>	Con estos pagos Repsol supera el 10% de rentabilidad por dividendo y es la la empresa del Ibex con mayor retorno por acción.</w:t>
            </w:r>
          </w:p>
          <w:p>
            <w:pPr>
              <w:ind w:left="-284" w:right="-427"/>
              <w:jc w:val="both"/>
              <w:rPr>
                <w:rFonts/>
                <w:color w:val="262626" w:themeColor="text1" w:themeTint="D9"/>
              </w:rPr>
            </w:pPr>
            <w:r>
              <w:t>	La remuneración al accionista ha venido acompañada de una significativa reducción de deuda. Al cierre del periodo, la deuda neta de Repsol se situó en 2.392 millones de euros, lo que supone un descenso del 55,4% respecto al cierre de 2013. Asimismo, la compañía cuenta con un alto nivel de liquidez de 11.195 millones de euros.	</w:t>
            </w:r>
          </w:p>
          <w:p>
            <w:pPr>
              <w:ind w:left="-284" w:right="-427"/>
              <w:jc w:val="both"/>
              <w:rPr>
                <w:rFonts/>
                <w:color w:val="262626" w:themeColor="text1" w:themeTint="D9"/>
              </w:rPr>
            </w:pPr>
            <w:r>
              <w:t>	1Fuente: Bloomberg 	</w:t>
            </w:r>
          </w:p>
          <w:p>
            <w:pPr>
              <w:ind w:left="-284" w:right="-427"/>
              <w:jc w:val="both"/>
              <w:rPr>
                <w:rFonts/>
                <w:color w:val="262626" w:themeColor="text1" w:themeTint="D9"/>
              </w:rPr>
            </w:pPr>
            <w:r>
              <w:t>		Nueva estructura equipo directivo</w:t>
            </w:r>
          </w:p>
          <w:p>
            <w:pPr>
              <w:ind w:left="-284" w:right="-427"/>
              <w:jc w:val="both"/>
              <w:rPr>
                <w:rFonts/>
                <w:color w:val="262626" w:themeColor="text1" w:themeTint="D9"/>
              </w:rPr>
            </w:pPr>
            <w:r>
              <w:t>	El Consejo de Administración de Repsol aprobó a finales de abril, a propuesta de su Presidente y con el informe favorable de la Comisión de Nombramientos y Retribuciones, una importante remodelación de la estructura de su equipo directivo encaminada a liderar los nuevos retos y oportunidades de la compañía, y en la que destaca el nombramiento como Consejero Delegado del Grupo de Josu Jon Imaz.</w:t>
            </w:r>
          </w:p>
          <w:p>
            <w:pPr>
              <w:ind w:left="-284" w:right="-427"/>
              <w:jc w:val="both"/>
              <w:rPr>
                <w:rFonts/>
                <w:color w:val="262626" w:themeColor="text1" w:themeTint="D9"/>
              </w:rPr>
            </w:pPr>
            <w:r>
              <w:t>	Con la nueva organización el grupo Repsol refuerza la gestión de todos sus negocios, y contará con la mejor estructura para generar nuevas oportunidades de crecimiento ?tanto orgánico como inorgánico- de acuerdo con sus principios de rentabilidad, responsabilidad, sostenibilidad y futuro.</w:t>
            </w:r>
          </w:p>
          <w:p>
            <w:pPr>
              <w:ind w:left="-284" w:right="-427"/>
              <w:jc w:val="both"/>
              <w:rPr>
                <w:rFonts/>
                <w:color w:val="262626" w:themeColor="text1" w:themeTint="D9"/>
              </w:rPr>
            </w:pPr>
            <w:r>
              <w:t>		Descubrimientos y rentabilidad del downstream</w:t>
            </w:r>
          </w:p>
          <w:p>
            <w:pPr>
              <w:ind w:left="-284" w:right="-427"/>
              <w:jc w:val="both"/>
              <w:rPr>
                <w:rFonts/>
                <w:color w:val="262626" w:themeColor="text1" w:themeTint="D9"/>
              </w:rPr>
            </w:pPr>
            <w:r>
              <w:t>	Durante el período, la producción de hidrocarburos alcanzó los 340.000 barriles equivalentes de petróleo al día (bep/d), con 26.800 bep/d de nueva producción que compensaron la pérdida coyuntural de actividad en Libia y las paradas por mantenimiento en los campos de Trinidad y Tobago. A principios de julio Repsol reanudó la producción en Libia, donde mantiene operativas sus instalaciones para recuperar con rapidez niveles de producción relevantes.</w:t>
            </w:r>
          </w:p>
          <w:p>
            <w:pPr>
              <w:ind w:left="-284" w:right="-427"/>
              <w:jc w:val="both"/>
              <w:rPr>
                <w:rFonts/>
                <w:color w:val="262626" w:themeColor="text1" w:themeTint="D9"/>
              </w:rPr>
            </w:pPr>
            <w:r>
              <w:t>	Entre enero y junio, la compañía incorporó nuevos barriles procedentes de Bolivia, Brasil, Perú, Rusia y Estados Unidos. Destaca la entrada en operación del proyecto Kinteroni, en Perú, durante el més de marzo, y la plena producción en la primera fase del campo Sapìnhoá en Brasil, en julio. El consorcio operador ya ha comenzado con los trabajos de instalación del segundo buque extractor de este megacampo en aguas de Brasil, que permitirá en 2015 superar en más de dos veces la actual capacidad.</w:t>
            </w:r>
          </w:p>
          <w:p>
            <w:pPr>
              <w:ind w:left="-284" w:right="-427"/>
              <w:jc w:val="both"/>
              <w:rPr>
                <w:rFonts/>
                <w:color w:val="262626" w:themeColor="text1" w:themeTint="D9"/>
              </w:rPr>
            </w:pPr>
            <w:r>
              <w:t>	Con las nuevas incorporaciones, Repsol ya ha iniciado la producción en siete de sus diez proyectos clave de crecimiento: Sapinhoa (Brasil), Midcontinent (EE.UU.), AROG (Rusia), Margarita-Huacaya (Bolivia), Lubina y Montanazo (España), Carabobo (Venezuela) y Kinteroni (Perú). La compañía trabaja en la puesta en producción del importante yacimiento de gas Cardón IV, en Venezuela, que añadirá más de 20.000 bep/d a la producción de Repsol en 2015, con aumentos a lo largo de los próximos años.</w:t>
            </w:r>
          </w:p>
          <w:p>
            <w:pPr>
              <w:ind w:left="-284" w:right="-427"/>
              <w:jc w:val="both"/>
              <w:rPr>
                <w:rFonts/>
                <w:color w:val="262626" w:themeColor="text1" w:themeTint="D9"/>
              </w:rPr>
            </w:pPr>
            <w:r>
              <w:t>	Además, Repsol ha continuado con su exitosa actividad exploratoria, que le permitió contar en 2013 con una tasa de reemplazo de reservas del 275%, la tasa  orgánica más alta de la historia de la compañía y la más alta del sector en el ejercicio. El descubrimiento anunciado en julio en Trinidad y Tobago se suma a la incorporación de 240 millones de barriles de recursos recuperables en Rusia gracias a los pozos Gabi-1 y Gabi-3, el mayor hallazgo de hidrocarburos realizado en Rusia en los dos últimos años. Además, la compañía logró durante el semestre tres hallazgos adicionales, uno en Brasil, en el pozo Seat 2, de la prolífica cuenca de Campos y dos en Alaska, en los pozos Qugruk-5 y Qugruk-7.</w:t>
            </w:r>
          </w:p>
          <w:p>
            <w:pPr>
              <w:ind w:left="-284" w:right="-427"/>
              <w:jc w:val="both"/>
              <w:rPr>
                <w:rFonts/>
                <w:color w:val="262626" w:themeColor="text1" w:themeTint="D9"/>
              </w:rPr>
            </w:pPr>
            <w:r>
              <w:t>	En lo que respecta al negocio de Downstream, la calidad de los activos de la compañía y su posicionamiento han permitido aumentar el resultado en 102 millones de euros respecto al primer semestre de 2013. El margen de refino aumentó un 9,4% hasta alcanzar los 3,5 dólares por barril, a pesar de un entorno caracterizado por la presión de los márgenes en Europa. Las importantes inversiones realizadas en las refinerías de Cartagena y Bilbao, que las han convertido en referentes para el sector, han permitido mejorar significativamente los márgenes y mantener la viabilidad económica y el empleo generado por estas instalaciones a pesar del difícil entorno para el sector en el continente europeo.</w:t>
            </w:r>
          </w:p>
          <w:p>
            <w:pPr>
              <w:ind w:left="-284" w:right="-427"/>
              <w:jc w:val="both"/>
              <w:rPr>
                <w:rFonts/>
                <w:color w:val="262626" w:themeColor="text1" w:themeTint="D9"/>
              </w:rPr>
            </w:pPr>
            <w:r>
              <w:t>	En el negocio químico, el resultado se vio favorecido por las mayores ventas y la puesta en valor de la tecnología de la compañía. En Gas  and  Power el mejor resultado vino marcado por un mayor volumen comercializado de gas natural en Norteamérica.</w:t>
            </w:r>
          </w:p>
          <w:p>
            <w:pPr>
              <w:ind w:left="-284" w:right="-427"/>
              <w:jc w:val="both"/>
              <w:rPr>
                <w:rFonts/>
                <w:color w:val="262626" w:themeColor="text1" w:themeTint="D9"/>
              </w:rPr>
            </w:pPr>
            <w:r>
              <w:t>	En cuanto al Grupo Gas Natural Fenosa, el resultado neto ajustado en el primer semestre de 2014 ha ascendido a 282 millones de euros, un 12% superior al al mismo período del año anterior, fundamentalmente por la plusvalía obtenida por la venta del negocio de telecomunicaciones y los mejores resultados de comercialización mayorista de gas.</w:t>
            </w:r>
          </w:p>
          <w:p>
            <w:pPr>
              <w:ind w:left="-284" w:right="-427"/>
              <w:jc w:val="both"/>
              <w:rPr>
                <w:rFonts/>
                <w:color w:val="262626" w:themeColor="text1" w:themeTint="D9"/>
              </w:rPr>
            </w:pPr>
            <w:r>
              <w:t>	Tablas de resultados. PDF (44KB).</w:t>
            </w:r>
          </w:p>
          <w:p>
            <w:pPr>
              <w:ind w:left="-284" w:right="-427"/>
              <w:jc w:val="both"/>
              <w:rPr>
                <w:rFonts/>
                <w:color w:val="262626" w:themeColor="text1" w:themeTint="D9"/>
              </w:rPr>
            </w:pPr>
            <w:r>
              <w:t>		Hitos del semestre</w:t>
            </w:r>
          </w:p>
          <w:p>
            <w:pPr>
              <w:ind w:left="-284" w:right="-427"/>
              <w:jc w:val="both"/>
              <w:rPr>
                <w:rFonts/>
                <w:color w:val="262626" w:themeColor="text1" w:themeTint="D9"/>
              </w:rPr>
            </w:pPr>
            <w:r>
              <w:t>	El pasado 31 de marzo, Repsol comenzó la producción de gas en el campo Kinteroni, uno de los diez proyectos clave del Plan Estratégico de la compañía para el periodo 2012-2016. El campo producirá inicialmente cerca de 20.000 barriles equivalentes de petróleo al día, que se espera duplicar en el año 2016. Kinteroni se localiza en el Bloque 57, al este de la Cordillera de los Andes,  una de las zonas gasíferas más prolíficas de Perú. Repsol realizó en 2012 otro gran hallazgo en esta zona, denominado Sagari. Las estimaciones preliminares en todo el bloque apuntan a unos recursos de entre 2 y 3 TCF (trillones de pies cúbicos) de gas.</w:t>
            </w:r>
          </w:p>
          <w:p>
            <w:pPr>
              <w:ind w:left="-284" w:right="-427"/>
              <w:jc w:val="both"/>
              <w:rPr>
                <w:rFonts/>
                <w:color w:val="262626" w:themeColor="text1" w:themeTint="D9"/>
              </w:rPr>
            </w:pPr>
            <w:r>
              <w:t>	A finales de junio, Repsol realizó dos nuevos descubrimientos de hidrocarburos en Rusia. Los recursos recuperables de los pozos Gabi-1 y Gabi-3 han sido certificados en 240 millones de barriles equivalentes, lo que supondría un aumento considerable de los recursos totales con que cuenta en la actualidad Repsol en Rusia. El ministro de Recursos Naturales y Ecología de la Federación Rusa, Sergei Donskoi, aseguró que se trata del mayor descubrimiento de hidrocarburos realizado en el país en los dos últimos años. Los descubrimientos confirman las expectativas que la compañía tiene depositadas en Rusia, donde desarrolla uno de sus proyectos estratégicos, AROG.</w:t>
            </w:r>
          </w:p>
          <w:p>
            <w:pPr>
              <w:ind w:left="-284" w:right="-427"/>
              <w:jc w:val="both"/>
              <w:rPr>
                <w:rFonts/>
                <w:color w:val="262626" w:themeColor="text1" w:themeTint="D9"/>
              </w:rPr>
            </w:pPr>
            <w:r>
              <w:t>	El 3 de julio, Repsol realizó un nuevo descubrimiento de hidrocarburos en aguas de Trinidad y Tobago. Los recursos estimados en el pozo se situarían en el entorno de los 40 millones de barriles, lo que supone ampliar las actuales reservas del campo, alargar la vida del mismo y añadir nueva producción. El hallazgo, denominado TB14, se suma a la puesta en marcha del pozo de desarrollo TB13, que supuso la incorporación de otros 1.384 barriles/día a la producción del campo. Los nuevos pozos incrementan en un 24% la producción existente del bloque TSP, que  alcanzó los 10.900 barriles/día en 2013.</w:t>
            </w:r>
          </w:p>
          <w:p>
            <w:pPr>
              <w:ind w:left="-284" w:right="-427"/>
              <w:jc w:val="both"/>
              <w:rPr>
                <w:rFonts/>
                <w:color w:val="262626" w:themeColor="text1" w:themeTint="D9"/>
              </w:rPr>
            </w:pPr>
            <w:r>
              <w:t>	A principios de mayo, Repsol recibió de la República Argentina bonos soberanos como medio de pago de la compensación por la expropiación de YPF e YPF Gas. Posteriormente, entre el 9 y el 23 de mayo la compañía monetizó los bonos por los que obtuvo casi 5.000 millones de dólares en varias operaciones de venta realizadas a JP Morgan.</w:t>
            </w:r>
          </w:p>
          <w:p>
            <w:pPr>
              <w:ind w:left="-284" w:right="-427"/>
              <w:jc w:val="both"/>
              <w:rPr>
                <w:rFonts/>
                <w:color w:val="262626" w:themeColor="text1" w:themeTint="D9"/>
              </w:rPr>
            </w:pPr>
            <w:r>
              <w:t>	En paralelo a estas operaciones y durante el mismo mes, Repsol se desprendió de la participación que aún mantenía del 12,38% de YPF, con lo que obtuvo 1.316 millones de dólares adicionales. Con estas operaciones Repsol finalizó el proceso de desinversión de sus activos en Argentina y reforzó su solidez financiera, logrando unos ingresos totales de  6.313 millones de dólares.</w:t>
            </w:r>
          </w:p>
          <w:p>
            <w:pPr>
              <w:ind w:left="-284" w:right="-427"/>
              <w:jc w:val="both"/>
              <w:rPr>
                <w:rFonts/>
                <w:color w:val="262626" w:themeColor="text1" w:themeTint="D9"/>
              </w:rPr>
            </w:pPr>
            <w:r>
              <w:t>	El 15 de mayo, la agencia Fitch Ratings subió la calificación crediticia a largo plazo de Repsol desde BBB- a BBB. Posteriormente, el 20 de mayo, Moodys Investor Service también notificó un alza de la calificación crediticia a largo plazo de la compañía desde Baa3 a Baa2, así como de la calificación a corto plazo desde Prime-3 a Prime-2, ambas con perspectiva estable.</w:t>
            </w:r>
          </w:p>
          <w:p>
            <w:pPr>
              <w:ind w:left="-284" w:right="-427"/>
              <w:jc w:val="both"/>
              <w:rPr>
                <w:rFonts/>
                <w:color w:val="262626" w:themeColor="text1" w:themeTint="D9"/>
              </w:rPr>
            </w:pPr>
            <w:r>
              <w:t>	El 28 de marzo, Repsol acordó en su Junta General de Accionistas abonar el dividendo complementario correspondiente al ejercicio 2013 bajo la fórmula de Repsol Dividendo Flexible, tal y como se venía haciendo en los últimos ejercicios. En el pago de este dividendo, realizado en julio, el 75,84% del capital de la compañía decidió recibir el dividendo en acciones, lo que demuestra su confianza por el futuro de la empresa.</w:t>
            </w:r>
          </w:p>
          <w:p>
            <w:pPr>
              <w:ind w:left="-284" w:right="-427"/>
              <w:jc w:val="both"/>
              <w:rPr>
                <w:rFonts/>
                <w:color w:val="262626" w:themeColor="text1" w:themeTint="D9"/>
              </w:rPr>
            </w:pPr>
            <w:r>
              <w:t>	Adicionalmente, el 28 de mayo de 2014, el Consejo de Administración de Repsol acordó la distribución de un dividendo extraordinario de un euro bruto por acción, para trasladar a los accionistas la exitosa gestión de la recuperación del valor de YPF. El pago de este dividendo, con cargo a los resultados del ejercicio en curso, se hizo efectivo el 6 de junio de 2014.</w:t>
            </w:r>
          </w:p>
          <w:p>
            <w:pPr>
              <w:ind w:left="-284" w:right="-427"/>
              <w:jc w:val="both"/>
              <w:rPr>
                <w:rFonts/>
                <w:color w:val="262626" w:themeColor="text1" w:themeTint="D9"/>
              </w:rPr>
            </w:pPr>
            <w:r>
              <w:t>	El 30 de abril, el Consejo de Administración de Repsol aprobó, a propuesta de su Presidente y con el informe favorable de la Comisión de Nombramientos y Retribuciones, una importante remodelación de la estructura de su equipo directivo encaminada a liderar los nuevos retos y oportunidades de la compañía, y en la que destaca el nombramiento como Consejero Delegado del Grupo de Josu Jon Imaz San Miguel.</w:t>
            </w:r>
          </w:p>
          <w:p>
            <w:pPr>
              <w:ind w:left="-284" w:right="-427"/>
              <w:jc w:val="both"/>
              <w:rPr>
                <w:rFonts/>
                <w:color w:val="262626" w:themeColor="text1" w:themeTint="D9"/>
              </w:rPr>
            </w:pPr>
            <w:r>
              <w:t>	El pasado 14 de marzo, Repsol creó un Comité Consultivo formado por accionistas minoritarios para fomentar la transparencia y establecer una comunicación bidireccional entre el equipo gestor de la compañía y sus minoritarios, una iniciativa novedosa y única entre las empresas energéticas del Ibex 35. La creación del Comité Consultivo es una iniciativa del Consejo de Administración de Repsol y se enmarca dentro de la política de relaciones con inversores de la compañía.</w:t>
            </w:r>
          </w:p>
          <w:p>
            <w:pPr>
              <w:ind w:left="-284" w:right="-427"/>
              <w:jc w:val="both"/>
              <w:rPr>
                <w:rFonts/>
                <w:color w:val="262626" w:themeColor="text1" w:themeTint="D9"/>
              </w:rPr>
            </w:pPr>
            <w:r>
              <w:t>	El 12 de mayo, Repsol celebró el 25 Aniversario de su salida a Bolsa. En estos 25 años, Repsol ha abonado en concepto de dividendos 16.019 millones de euros, mientras la capitalización bursátil de la empresa se ha multiplicado por 8,5 veces hasta los 26.338 millones de euros. En la actualidad, Repsol cuenta con cerca de 500.000 pequeños inversores que representan, aproximadamente, el 12% de su capital.</w:t>
            </w:r>
          </w:p>
          <w:p>
            <w:pPr>
              <w:ind w:left="-284" w:right="-427"/>
              <w:jc w:val="both"/>
              <w:rPr>
                <w:rFonts/>
                <w:color w:val="262626" w:themeColor="text1" w:themeTint="D9"/>
              </w:rPr>
            </w:pPr>
            <w:r>
              <w:t>	Este documento no constituye una oferta o invitación para adquirir o suscribir acciones de Repsol, de acuerdo con lo establecido en la Ley 24/1988, de 28 de julio, del Mercado de Valores y en su normativa de desarrollo. Asimismo, este documento no constituye una oferta de compra, de venta o de canje ni una solicitud de una oferta de compra, de venta o de canje de títulos valores en ninguna otra jurisdicción.</w:t>
            </w:r>
          </w:p>
          <w:p>
            <w:pPr>
              <w:ind w:left="-284" w:right="-427"/>
              <w:jc w:val="both"/>
              <w:rPr>
                <w:rFonts/>
                <w:color w:val="262626" w:themeColor="text1" w:themeTint="D9"/>
              </w:rPr>
            </w:pPr>
            <w:r>
              <w:t>	Este documento contiene información y afirmaciones o declaraciones que constituyen estimaciones o proyecciones de futuro sobre Repsol. Dichas estimaciones o proyecciones pueden incluir declaraciones sobre planes, objetivos y expectativas actuales, incluyendo declaraciones en relación con tendencias que afecten a la situación financiera de Repsol, ratios financieros, resultados operativos, negocios, estrategia, concentración geográfica, volúmenes de producción y reservas, gastos de capital, ahorros de costes, inversiones y políticas de dividendos. Dichas estimaciones o proyecciones pueden incluir también asunciones sobre futuras condiciones de tipo económico o de cualquier otro tipo, tales como los futuros precios del crudo u otros precios, márgenes de refino o marketing y tipos de cambio. Las estimaciones o proyecciones de futuro se identifican generalmente por el uso de términos como ?espera?, ?anticipa?, ?pronostica?, ?cree?, ?estima?, ?aprecia? y expresiones similares. Dichas declaraciones no constituyen garantías de un futuro cumplimiento, precios, márgenes, tipos de cambio o de cualquier otro suceso, y se encuentran sujetas a riesgos significativos, incertidumbres, cambios y otros factores que pueden estar fuera del control de Repsol o que pueden ser difíciles de prever. Entre tales riesgos e incertidumbres están aquellos factores y circunstancias identificadas en las comunicaciones y los documentos registrados por Repsol y sus filiales en la Comisión Nacional del Mercado de Valores en España, en la Comisión Nacional de Valores en Argentina, en la Securities and Exchange Commission de los Estados Unidos de América y en el resto de autoridades supervisoras de los mercados en los que se negocian los valores emitidos por Repsol y/o sus filiales.</w:t>
            </w:r>
          </w:p>
          <w:p>
            <w:pPr>
              <w:ind w:left="-284" w:right="-427"/>
              <w:jc w:val="both"/>
              <w:rPr>
                <w:rFonts/>
                <w:color w:val="262626" w:themeColor="text1" w:themeTint="D9"/>
              </w:rPr>
            </w:pPr>
            <w:r>
              <w:t>	Salvo en la medida que lo requiera la ley aplicable, Repsol no asume ninguna obligación -aun cuando se publiquen nuevos datos o se produzcan nuevos hechos- de informar públicamente de la actualización o revisión de estas manifestaciones de futuro.</w:t>
            </w:r>
          </w:p>
          <w:p>
            <w:pPr>
              <w:ind w:left="-284" w:right="-427"/>
              <w:jc w:val="both"/>
              <w:rPr>
                <w:rFonts/>
                <w:color w:val="262626" w:themeColor="text1" w:themeTint="D9"/>
              </w:rPr>
            </w:pPr>
            <w:r>
              <w:t>	La información incluida en este documento no ha sido verificada ni revisada por los auditores externos de Repsol.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REPSOL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https://www.notasdeprensa.es/repsol-alcanza-un-beneficio-neto-de-1-327_1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