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54.945€ con deuda pública en Madrid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tramitado en toda España desde sus inicios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JC, a quien el Juzgado de Primera Instancia nº60 de Madrid, ha concedido Beneficio de Exoneración del Pasivo Insatisfecho (BEPI), liberando al concursado de una deuda que ascendía a 54.945 euros con 8 bancos y entidades financieras.</w:t>
            </w:r>
          </w:p>
          <w:p>
            <w:pPr>
              <w:ind w:left="-284" w:right="-427"/>
              <w:jc w:val="both"/>
              <w:rPr>
                <w:rFonts/>
                <w:color w:val="262626" w:themeColor="text1" w:themeTint="D9"/>
              </w:rPr>
            </w:pPr>
            <w:r>
              <w:t>Los abogados de Repara tu Deuda comentan que JC ha vivido una situación de sobreendeudamiento derivada de pequeños préstamos que fue pidiendo y cuyo montante no pudo devolver. Dadas las circunstancias, decidió iniciar el procedimiento para poder acogerse a la Ley de Segunda Oportunidad.</w:t>
            </w:r>
          </w:p>
          <w:p>
            <w:pPr>
              <w:ind w:left="-284" w:right="-427"/>
              <w:jc w:val="both"/>
              <w:rPr>
                <w:rFonts/>
                <w:color w:val="262626" w:themeColor="text1" w:themeTint="D9"/>
              </w:rPr>
            </w:pPr>
            <w:r>
              <w:t>JC tenía también una deuda pública con Hacienda. La Ley de Segunda Oportunidad entró en vigor en España en 2015 pero hasta ahora no contemplaba la cancelación de la deuda pública, solamente la privada.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Pese a que la Ley de la Segunda Oportunidad todavía no es muy conocida en España, este mecanismo legal es cada vez más habitual,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40 millones de euros de deuda.</w:t>
            </w:r>
          </w:p>
          <w:p>
            <w:pPr>
              <w:ind w:left="-284" w:right="-427"/>
              <w:jc w:val="both"/>
              <w:rPr>
                <w:rFonts/>
                <w:color w:val="262626" w:themeColor="text1" w:themeTint="D9"/>
              </w:rPr>
            </w:pPr>
            <w:r>
              <w:t>Del total de personas que se han acogido durante el último año a la Ley de la Segunda Oportunidad, es importante resaltar que este mecanismo ya es una realidad en todas las comunidades autónomas en España. En los últimos meses, se han incrementado considerablemente los casos, siendo Catalunya la pionera del ranking nacional. “Hemos invertido millones de euros en tecnología y en dar a conocer la Ley de la Segunda Oportunidad en todo el país,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especificados,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https://www.notasdeprensa.es/repara-tu-deuda-cancela-54-945-con-deuda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