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62.810,00 €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80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Madrid. Mediante la gestión de Repara tu Deuda Abogados, el Juzgado de Primera Instancia nº49 de Madrid ha dictado beneficio de exoneración del pasivo insatisfecho (BEPI), que habían acumulado una deuda de 62.810,00 euros a la que no podían hacer frente. VER SENTENCIA.</w:t>
            </w:r>
          </w:p>
          <w:p>
            <w:pPr>
              <w:ind w:left="-284" w:right="-427"/>
              <w:jc w:val="both"/>
              <w:rPr>
                <w:rFonts/>
                <w:color w:val="262626" w:themeColor="text1" w:themeTint="D9"/>
              </w:rPr>
            </w:pPr>
            <w:r>
              <w:t>Como explican los abogados de Repara tu Deuda, “El deudor se sacó el carnet de camión y compró un camión que iba pagando con tarjetas de crédito que previamente pedía. Cuando ya tenía el camión le pusieron una multa que no pudo pagar y que le generó aún más deuda. Más tarde le despidieron del trabajo y tuvo que pedir más tarjetas de crédito para seguir adelante. Finalmente,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80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670614561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https://www.notasdeprensa.es/repara-tu-deuda-abogados-cancela-62-81000-en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