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Hostalric, Girona el 22/07/2022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11.103€ en Hostalric (Girona)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Hostalric (Girona). Mediante la gestión de Repara tu Deuda Abogados, el Juzgado de Primera Instancia nº1 de Santa Coloma Farners ha dictado beneficio de exoneración del pasivo insatisfecho (BEPI), que había acumulado una deuda de 11.103 euros a la que no podía hacer frente. VER SENTENCIA.</w:t>
            </w:r>
          </w:p>
          <w:p>
            <w:pPr>
              <w:ind w:left="-284" w:right="-427"/>
              <w:jc w:val="both"/>
              <w:rPr>
                <w:rFonts/>
                <w:color w:val="262626" w:themeColor="text1" w:themeTint="D9"/>
              </w:rPr>
            </w:pPr>
            <w:r>
              <w:t>Como explican los abogados de Repara tu Deuda: “Por una baja médica, los ingresos de la persona endeudada han sido reducidos y le ha sido imposible seguir pagando un acuerdo extrajudicial adoptado con anterioridad.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https://www.notasdeprensa.es/repara-tu-deuda-abogados-cancela-11-103-en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