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Redegal capta 1.000.000€ en 48h en su Ronda de Inversión y su interés es cotizar en el BME Growth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Redegal, abre una ronda de inversión a través de SEGOFINANCE y consigue captar el 50% del objetivo en menos de 48h. La ampliación de capital es de 2M€ y su interés es salir a cotizar en el BME Growth en 2023. Jorge Vázquez, CEO de Redegal: "Con esta ronda de inversión queremos ganar músculo financiero de cara a nuestro interés en salir a cotizar en el BME Growth, aportando valor a la compañía, empleados, clientes y potenciales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Redegal es una agencia full digital especializada en desarrollo y generación de negocio online. Tiene un amplio expertise, con más de 19 años de experiencia en el sector de la tecnología de la información, el marketing digital y las soluciones propias, como su producto exclusivo Binnacle Data, herramienta de analítica data-driven desarrollada por su departamento de innovación y de producto. Redegal está formado por un equipo multidisciplinar de más de 160 personas.</w:t>
            </w:r>
          </w:p>
          <w:p>
            <w:pPr>
              <w:ind w:left="-284" w:right="-427"/>
              <w:jc w:val="both"/>
              <w:rPr>
                <w:rFonts/>
                <w:color w:val="262626" w:themeColor="text1" w:themeTint="D9"/>
              </w:rPr>
            </w:pPr>
            <w:r>
              <w:t>Más de 200 compañías nacionales e internacionales, algunas de ellas presentes en las principales bolsas del mundo, depositan su confianza en la compañía.</w:t>
            </w:r>
          </w:p>
          <w:p>
            <w:pPr>
              <w:ind w:left="-284" w:right="-427"/>
              <w:jc w:val="both"/>
              <w:rPr>
                <w:rFonts/>
                <w:color w:val="262626" w:themeColor="text1" w:themeTint="D9"/>
              </w:rPr>
            </w:pPr>
            <w:r>
              <w:t>Redegal  presentó un avance de su facturación hasta el cierre de junio de 2022 de más de 4 millones de euros, un 22% más que en el mismo periodo de 2021.</w:t>
            </w:r>
          </w:p>
          <w:p>
            <w:pPr>
              <w:ind w:left="-284" w:right="-427"/>
              <w:jc w:val="both"/>
              <w:rPr>
                <w:rFonts/>
                <w:color w:val="262626" w:themeColor="text1" w:themeTint="D9"/>
              </w:rPr>
            </w:pPr>
            <w:r>
              <w:t>Estas cifras de crecimiento continúan la senda marcada al cierre de 2021, donde la compañía alcanzó una cifra de negocio individual de 5,97 millones de euros y una facturación consolidada de 7,1 millones de euros. La compañía prevé cerrar 2022 con un importe de la cifra de negocio superior a 8 millones de euros y más de 1 millón de euros estimado de EBITDA.</w:t>
            </w:r>
          </w:p>
          <w:p>
            <w:pPr>
              <w:ind w:left="-284" w:right="-427"/>
              <w:jc w:val="both"/>
              <w:rPr>
                <w:rFonts/>
                <w:color w:val="262626" w:themeColor="text1" w:themeTint="D9"/>
              </w:rPr>
            </w:pPr>
            <w:r>
              <w:t>La Ronda de Inversión está disponible por un total de hasta 2 Millones de euros y el ticket mínimo es de 2.000€.</w:t>
            </w:r>
          </w:p>
          <w:p>
            <w:pPr>
              <w:ind w:left="-284" w:right="-427"/>
              <w:jc w:val="both"/>
              <w:rPr>
                <w:rFonts/>
                <w:color w:val="262626" w:themeColor="text1" w:themeTint="D9"/>
              </w:rPr>
            </w:pPr>
            <w:r>
              <w:t>Redegal nace en el año 2004 en Ourense como una iniciativa de Jorge Vázquez, socio fundador de la compañía, quien afirma que el objetivo de esta ronda de inversión es ganar músculo financiero de cara a su interés en debutar en el BME Growth, aportando valor a la compañía, empleados, clientes y potenciales inversores.</w:t>
            </w:r>
          </w:p>
          <w:p>
            <w:pPr>
              <w:ind w:left="-284" w:right="-427"/>
              <w:jc w:val="both"/>
              <w:rPr>
                <w:rFonts/>
                <w:color w:val="262626" w:themeColor="text1" w:themeTint="D9"/>
              </w:rPr>
            </w:pPr>
            <w:r>
              <w:t>En palabras de Jorge Vázquez, CEO y Presidente de Redegal: "Queremos seguir impulsando Redegal porque creemos en nuestro potencial en el mercado nacional e internacional, en un momento en el que la digitalización de las compañías, grandes y pequeñas, es vital para su continuidad".</w:t>
            </w:r>
          </w:p>
          <w:p>
            <w:pPr>
              <w:ind w:left="-284" w:right="-427"/>
              <w:jc w:val="both"/>
              <w:rPr>
                <w:rFonts/>
                <w:color w:val="262626" w:themeColor="text1" w:themeTint="D9"/>
              </w:rPr>
            </w:pPr>
            <w:r>
              <w:t>Para llevar a cabo la ampliación de capital han confiado en el Grupo SEGOFINANCE, ya que cuenta con una gran experiencia en Rondas de inversión Pre-IPO. Solo en 2022, dos compañías invertidas por el Grupo Fintech de referencia, salieron a cotizar, Energy Solar Tech y Vytrus Biotech. El Grupo SEGO es la plataforma líder en inversión minorista con más de 12 años de experiencia que permite a sus usuarios la posibilidad de invertir desde un mismo lugar en startups, factoring, real estate y fondos a través de sus líneas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Vera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666578860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https://www.notasdeprensa.es/redegal-capta-1-000-000-en-48h-en-su-ronda-de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