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del Pino, Presidente de Ferrovial, aumenta su inversión en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conformidad con el artículo 82 de la Ley del Mercado de Valores, FERROVIAL, S.A. (la Sociedad o FERROVIAL), comunica la siguiente: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INFORMACIÓN RELEVANTE</w:t>
            </w:r>
          </w:p>
          <w:p>
            <w:pPr>
              <w:ind w:left="-284" w:right="-427"/>
              <w:jc w:val="both"/>
              <w:rPr>
                <w:rFonts/>
                <w:color w:val="262626" w:themeColor="text1" w:themeTint="D9"/>
              </w:rPr>
            </w:pPr>
            <w:r>
              <w:t>	Se pone en conocimiento del mercado la comunicación recibida por FERROVIAL de Rijn Capital B.V., sociedad cuyo accionista mayoritario es el Presidente del Consejo de Administración, Rafael del Pino y Calvo-Sotelo, para su difusión inmediata, en relación con la operación de colocación acelerada en bloque de acciones de Ferrovial, S.A. anunciada con esta misma fecha por Morgan Stanley  and  Co. International plc y Mediobanca ? Banca di Credito Finanziario S.p.A.</w:t>
            </w:r>
          </w:p>
          <w:p>
            <w:pPr>
              <w:ind w:left="-284" w:right="-427"/>
              <w:jc w:val="both"/>
              <w:rPr>
                <w:rFonts/>
                <w:color w:val="262626" w:themeColor="text1" w:themeTint="D9"/>
              </w:rPr>
            </w:pPr>
            <w:r>
              <w:t>	Lo cual ponemos en su conocimiento a los efectos oportunos.</w:t>
            </w:r>
          </w:p>
          <w:p>
            <w:pPr>
              <w:ind w:left="-284" w:right="-427"/>
              <w:jc w:val="both"/>
              <w:rPr>
                <w:rFonts/>
                <w:color w:val="262626" w:themeColor="text1" w:themeTint="D9"/>
              </w:rPr>
            </w:pPr>
            <w:r>
              <w:t>	Madrid, 12 de Noviembre de 2014</w:t>
            </w:r>
          </w:p>
          <w:p>
            <w:pPr>
              <w:ind w:left="-284" w:right="-427"/>
              <w:jc w:val="both"/>
              <w:rPr>
                <w:rFonts/>
                <w:color w:val="262626" w:themeColor="text1" w:themeTint="D9"/>
              </w:rPr>
            </w:pPr>
            <w:r>
              <w:t>	Santiago Ortiz Vaamonde</w:t>
            </w:r>
          </w:p>
          <w:p>
            <w:pPr>
              <w:ind w:left="-284" w:right="-427"/>
              <w:jc w:val="both"/>
              <w:rPr>
                <w:rFonts/>
                <w:color w:val="262626" w:themeColor="text1" w:themeTint="D9"/>
              </w:rPr>
            </w:pPr>
            <w:r>
              <w:t>	Secretario del Consejo de Administración de Ferrovial, S.A.</w:t>
            </w:r>
          </w:p>
          <w:p>
            <w:pPr>
              <w:ind w:left="-284" w:right="-427"/>
              <w:jc w:val="both"/>
              <w:rPr>
                <w:rFonts/>
                <w:color w:val="262626" w:themeColor="text1" w:themeTint="D9"/>
              </w:rPr>
            </w:pPr>
            <w:r>
              <w:t>	De conformidad con el artículo 82 de la Ley del Mercado de Valores, Rijn Capital B.V. (Rijn Capital) comunica la siguiente:</w:t>
            </w:r>
          </w:p>
          <w:p>
            <w:pPr>
              <w:ind w:left="-284" w:right="-427"/>
              <w:jc w:val="both"/>
              <w:rPr>
                <w:rFonts/>
                <w:color w:val="262626" w:themeColor="text1" w:themeTint="D9"/>
              </w:rPr>
            </w:pPr>
            <w:r>
              <w:t>	INFORMACIÓN RELEVANTE</w:t>
            </w:r>
          </w:p>
          <w:p>
            <w:pPr>
              <w:ind w:left="-284" w:right="-427"/>
              <w:jc w:val="both"/>
              <w:rPr>
                <w:rFonts/>
                <w:color w:val="262626" w:themeColor="text1" w:themeTint="D9"/>
              </w:rPr>
            </w:pPr>
            <w:r>
              <w:t>	Rijn Capital informa de que ha concertado un derivado financiero, en concreto una venta a futuro (forward sale), con Mediobanca ? Banca di Credito Finanziario S.p.A. (Mediobanca) sobre un paquete de 23 millones de acciones de Ferrovial, S.A. (Ferrovial o la Sociedad), representativas del 3,11% del capital de la Sociedad, cuya cobertura están ejecutando Morgan Stanley  and  Co. International plc (Morgan Stanley) y Mediobanca como joint bookrunners mediante una colocación acelerada en bloque del mismo número de acciones de Ferrovial, previamente tomadas a préstamo del mercado por Mediobanca, entre inversores institucionales y cualificados comunicada al mercado con esta misma fecha.</w:t>
            </w:r>
          </w:p>
          <w:p>
            <w:pPr>
              <w:ind w:left="-284" w:right="-427"/>
              <w:jc w:val="both"/>
              <w:rPr>
                <w:rFonts/>
                <w:color w:val="262626" w:themeColor="text1" w:themeTint="D9"/>
              </w:rPr>
            </w:pPr>
            <w:r>
              <w:t>	Esta operación supone la venta a futuro de gran parte de las acciones de Ferrovial que eran propiedad indirecta de un miembro de la familia que no forma parte del Consejo de Administración de Ferrovial, y que Rijn Capital ha adquirido hoy.</w:t>
            </w:r>
          </w:p>
          <w:p>
            <w:pPr>
              <w:ind w:left="-284" w:right="-427"/>
              <w:jc w:val="both"/>
              <w:rPr>
                <w:rFonts/>
                <w:color w:val="262626" w:themeColor="text1" w:themeTint="D9"/>
              </w:rPr>
            </w:pPr>
            <w:r>
              <w:t>	Como resultado de estas transacciones Rafael del Pino y Calvo-Sotelo aumenta su inversión total en el capital de Ferrovial, mientras que la inversión de los restantes miembros del Consejo de Administración de Ferrovial no se ve alterada.</w:t>
            </w:r>
          </w:p>
          <w:p>
            <w:pPr>
              <w:ind w:left="-284" w:right="-427"/>
              <w:jc w:val="both"/>
              <w:rPr>
                <w:rFonts/>
                <w:color w:val="262626" w:themeColor="text1" w:themeTint="D9"/>
              </w:rPr>
            </w:pPr>
            <w:r>
              <w:t>	Rafael del Pino y Calvo-Sotelo se ha comprometido con Morgan Stanley, en los términos y con las excepciones habituales en esta clase de operaciones (incluyendo su posible préstamo a Mediobanca), a no disponer, ni permitir que Rijn Capital o cualesquiera otras sociedades controladas por él dispongan, de acciones de Ferrovial en los 90 días siguientes a la fecha de la operación.</w:t>
            </w:r>
          </w:p>
          <w:p>
            <w:pPr>
              <w:ind w:left="-284" w:right="-427"/>
              <w:jc w:val="both"/>
              <w:rPr>
                <w:rFonts/>
                <w:color w:val="262626" w:themeColor="text1" w:themeTint="D9"/>
              </w:rPr>
            </w:pPr>
            <w:r>
              <w:t>	Amsterdam, 12 de noviembre de 2014</w:t>
            </w:r>
          </w:p>
          <w:p>
            <w:pPr>
              <w:ind w:left="-284" w:right="-427"/>
              <w:jc w:val="both"/>
              <w:rPr>
                <w:rFonts/>
                <w:color w:val="262626" w:themeColor="text1" w:themeTint="D9"/>
              </w:rPr>
            </w:pPr>
            <w:r>
              <w:t>	_______________</w:t>
            </w:r>
          </w:p>
          <w:p>
            <w:pPr>
              <w:ind w:left="-284" w:right="-427"/>
              <w:jc w:val="both"/>
              <w:rPr>
                <w:rFonts/>
                <w:color w:val="262626" w:themeColor="text1" w:themeTint="D9"/>
              </w:rPr>
            </w:pPr>
            <w:r>
              <w:t>	Meindert de Boer</w:t>
            </w:r>
          </w:p>
          <w:p>
            <w:pPr>
              <w:ind w:left="-284" w:right="-427"/>
              <w:jc w:val="both"/>
              <w:rPr>
                <w:rFonts/>
                <w:color w:val="262626" w:themeColor="text1" w:themeTint="D9"/>
              </w:rPr>
            </w:pPr>
            <w:r>
              <w:t>	Apoderado</w:t>
            </w:r>
          </w:p>
          <w:p>
            <w:pPr>
              <w:ind w:left="-284" w:right="-427"/>
              <w:jc w:val="both"/>
              <w:rPr>
                <w:rFonts/>
                <w:color w:val="262626" w:themeColor="text1" w:themeTint="D9"/>
              </w:rPr>
            </w:pPr>
            <w:r>
              <w:t>	Más información sobre el Hecho Relevante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https://www.notasdeprensa.es/rafael-del-pino-presidente-de-ferrovial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Bolsa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