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 crida de nou a la responsabilitat de les parts per arribar a una solució en el conflicte de Panrico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conseller ha assegurat que “la proposta mediadora de la Generalitat continua invariable” i ha recordat que “tal com ja vam avisar, la via judicial no ha arreglat el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conseller d’Empresa i Ocupació, Felip Puig, ha tornat avui a fer una crida a la responsabilitat de les parts per arribar a una solució en el conflicte de Panrico. En aquest sentit, el conseller, que ha fet aquestes declaracions després d’un dinar col·loqui amb empresaris del Penedès, ha assegurat que “ e l posicionament de la Generalitat continua invariable”.   </w:t>
            </w:r>
          </w:p>
          <w:p>
            <w:pPr>
              <w:ind w:left="-284" w:right="-427"/>
              <w:jc w:val="both"/>
              <w:rPr>
                <w:rFonts/>
                <w:color w:val="262626" w:themeColor="text1" w:themeTint="D9"/>
              </w:rPr>
            </w:pPr>
            <w:r>
              <w:t>	El responsable d’Empresa i Ocupació ha afegit que “crec que el temps ens està donant la raó, ja que ja vam dir que les sentències judicials, per una banda i per l’altra, no arreglarien el problema”.   </w:t>
            </w:r>
          </w:p>
          <w:p>
            <w:pPr>
              <w:ind w:left="-284" w:right="-427"/>
              <w:jc w:val="both"/>
              <w:rPr>
                <w:rFonts/>
                <w:color w:val="262626" w:themeColor="text1" w:themeTint="D9"/>
              </w:rPr>
            </w:pPr>
            <w:r>
              <w:t>	El titular d’Empresa i Ocupació ha destacat “l’exercici de responsabilitat de l’empresa” que  ha posat sobre la taula la voluntat de reprendre les negociacions i de no aplicar en totes les seves conseqüències els arguments de la sentència. “Per tant l’empresa està dient que no exigirà al 100% el compliment de la sentència, i això és positiu”, ha afirmat.   </w:t>
            </w:r>
          </w:p>
          <w:p>
            <w:pPr>
              <w:ind w:left="-284" w:right="-427"/>
              <w:jc w:val="both"/>
              <w:rPr>
                <w:rFonts/>
                <w:color w:val="262626" w:themeColor="text1" w:themeTint="D9"/>
              </w:rPr>
            </w:pPr>
            <w:r>
              <w:t>	Pel que fa al posicionament dels treballadors, que han demanat uns dies de reflexió per veure de quina manera entren en la via del diàleg, Puig ha assegurat que “esperem que els treballadors vegin, després d’aquesta sentència no favorable per a ells, que l’empresa està fent un gest de bona voluntat i puguem seure en una taula”. “L’empresa manté el compromís, i nosaltres en això serem molt exigents, que Santa Perpètua seguirà treballant i fabricant donuts”, ha dit.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https://www.notasdeprensa.es/puig-crida-de-nou-a-la-responsabilitat-de-les_1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