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10/12/2012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Proselco y Alzania formalizan acuerdo de integración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sociedades vinculan sus acciones y centralizan su gestión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10 de diciembre de 2012.- Las sociedades Proselco y Comercial Alzania, pertenecientes al grupo empresarial Sinersis, anuncian la formalización de su acuerdo de integración comercial.		Dicho acuerdo contempla que los procesos comerciales y demás actividades operativas de la sociedad Comercial Alzania pasarán a ser gestionados  de manera centralizada desde Proselco estableciendo así una vinculación accionarial entre ambas sociedades.		Con este convenio, además de aumentar la zona de influencia de ambas sociedades para comprender la Comunidad de Madrid, Castilla y León, Toledo, Guadalajara, Navarra, Aragón, La Rioja y País Vasco, se pretende conseguir mayores sinergias que permitan optimizar los procesos de gestión y los costes de ambas sociedades, así como potenciar sus marcas TIEN21 y MILAR, prestando un servicio integral a sus puntos de venta asociados.		Tras la integración, la posición  de ambas sociedades queda reforzada en sus zonas de influencia lo que, sin duda, generará importantes beneficios a toda la red de tiendas pertenecientes a ambas.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Ingrid Guzmán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https://www.notasdeprensa.es/proselco-y-alzania-formalizan-acuerdo-de-integracion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