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informe sobre la situación del EEI: el «mercado único» en materia de investigación está ahora más próximo, aunque aún no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23 de septiembre de 2013</w:t>
            </w:r>
          </w:p>
          <w:p>
            <w:pPr>
              <w:ind w:left="-284" w:right="-427"/>
              <w:jc w:val="both"/>
              <w:rPr>
                <w:rFonts/>
                <w:color w:val="262626" w:themeColor="text1" w:themeTint="D9"/>
              </w:rPr>
            </w:pPr>
            <w:r>
              <w:t>Primer informe sobre la situación del EEI: el «mercado único» en materia de investigación está ahora más próximo, aunque aún no es una realidad </w:t>
            </w:r>
          </w:p>
          <w:p>
            <w:pPr>
              <w:ind w:left="-284" w:right="-427"/>
              <w:jc w:val="both"/>
              <w:rPr>
                <w:rFonts/>
                <w:color w:val="262626" w:themeColor="text1" w:themeTint="D9"/>
              </w:rPr>
            </w:pPr>
            <w:r>
              <w:t>La Comisión Europea ha presentado hoy el primer análisis exhaustivo de la situación del «mercado único» en materia de investigación o Espacio Europeo de Investigación (EEI). El informe facilita los datos necesarios para evaluar los avances registrados en sectores importantes tales como la contratación abierta y equitativa de investigadores o la difusión más fácil de los conocimientos científicos. El informe señala que se han registrado algunos avances, si bien incluso los centros de investigación con mejores resultados aún tienen algunas cuestiones pendientes antes del plazo de 2014 fijado por los líderes de la UE en relación con el EEI. Existe además un importante desfase entre los que consiguen los mejores y los peores resultados (MEMO/13/807).</w:t>
            </w:r>
          </w:p>
          <w:p>
            <w:pPr>
              <w:ind w:left="-284" w:right="-427"/>
              <w:jc w:val="both"/>
              <w:rPr>
                <w:rFonts/>
                <w:color w:val="262626" w:themeColor="text1" w:themeTint="D9"/>
              </w:rPr>
            </w:pPr>
            <w:r>
              <w:t>La comisaria europea de Investigación, Innovación y Ciencia, Máire Geoghegan-Quinn, ha declarado lo siguiente: «Este informe indica que queda todavía mucho por hacer. Aunque la investigación en I+D es fundamental, necesitamos sistemas de investigación e innovación plenamente funcionales con el fin de garantizar una utilización óptima de los fondos. Actualmente es preciso un importante esfuerzo por parte de todos los Estados miembros de la UE y todos los participantes en la investigación y en la financiación de la investigación para impulsar el EEI.».</w:t>
            </w:r>
          </w:p>
          <w:p>
            <w:pPr>
              <w:ind w:left="-284" w:right="-427"/>
              <w:jc w:val="both"/>
              <w:rPr>
                <w:rFonts/>
                <w:color w:val="262626" w:themeColor="text1" w:themeTint="D9"/>
              </w:rPr>
            </w:pPr>
            <w:r>
              <w:t>El Espacio Europeo de Investigación tiene como objetivo facilitar la circulación, la competencia y la cooperación transfronterizas de los investigadores, los centros de investigación y las empresas, por lo que permite consolidar los sistemas de investigación de los Estados miembros de la UE, reforzar su competitividad e incrementar su cooperación de forma más eficaz, a fin de hacer frente a importantes desafíos.</w:t>
            </w:r>
          </w:p>
          <w:p>
            <w:pPr>
              <w:ind w:left="-284" w:right="-427"/>
              <w:jc w:val="both"/>
              <w:rPr>
                <w:rFonts/>
                <w:color w:val="262626" w:themeColor="text1" w:themeTint="D9"/>
              </w:rPr>
            </w:pPr>
            <w:r>
              <w:t>Aunque pone de relieve los avances registrados en todos los sectores importantes, el informe señala una serie de ámbitos que siguen suscitando preocupación, tales como:</w:t>
            </w:r>
          </w:p>
          <w:p>
            <w:pPr>
              <w:ind w:left="-284" w:right="-427"/>
              <w:jc w:val="both"/>
              <w:rPr>
                <w:rFonts/>
                <w:color w:val="262626" w:themeColor="text1" w:themeTint="D9"/>
              </w:rPr>
            </w:pPr>
            <w:r>
              <w:t>
                <w:p>
                  <w:pPr>
                    <w:ind w:left="-284" w:right="-427"/>
                    <w:jc w:val="both"/>
                    <w:rPr>
                      <w:rFonts/>
                      <w:color w:val="262626" w:themeColor="text1" w:themeTint="D9"/>
                    </w:rPr>
                  </w:pPr>
                  <w:r>
                    <w:t>el porcentaje de la inversión pública en I+D respecto al gasto público global está disminuyendo en algunos Estados miembros;</w:t>
                  </w:r>
                </w:p>
              </w:t>
            </w:r>
          </w:p>
          <w:p>
            <w:pPr>
              <w:ind w:left="-284" w:right="-427"/>
              <w:jc w:val="both"/>
              <w:rPr>
                <w:rFonts/>
                <w:color w:val="262626" w:themeColor="text1" w:themeTint="D9"/>
              </w:rPr>
            </w:pPr>
            <w:r>
              <w:t>
                <w:p>
                  <w:pPr>
                    <w:ind w:left="-284" w:right="-427"/>
                    <w:jc w:val="both"/>
                    <w:rPr>
                      <w:rFonts/>
                      <w:color w:val="262626" w:themeColor="text1" w:themeTint="D9"/>
                    </w:rPr>
                  </w:pPr>
                  <w:r>
                    <w:t>los programas nacionales de investigación siguen aplicando normas distintas, por ejemplo, en relación con la presentación de informes, lo que dificulta la cooperación transnacional en materia de investigación; </w:t>
                  </w:r>
                </w:p>
              </w:t>
            </w:r>
          </w:p>
          <w:p>
            <w:pPr>
              <w:ind w:left="-284" w:right="-427"/>
              <w:jc w:val="both"/>
              <w:rPr>
                <w:rFonts/>
                <w:color w:val="262626" w:themeColor="text1" w:themeTint="D9"/>
              </w:rPr>
            </w:pPr>
            <w:r>
              <w:t>
                <w:p>
                  <w:pPr>
                    <w:ind w:left="-284" w:right="-427"/>
                    <w:jc w:val="both"/>
                    <w:rPr>
                      <w:rFonts/>
                      <w:color w:val="262626" w:themeColor="text1" w:themeTint="D9"/>
                    </w:rPr>
                  </w:pPr>
                  <w:r>
                    <w:t>algunas barreras financieras, políticas y de gestión dificultan el desarrollo y la aplicación de algunas infraestructuras, tales como los láseres intensos o los telescopios muy grandes, y ocurre a menudo que las normas nacionales o unos costes de acceso muy elevados impiden que los investigadores de otros Estados miembros tengan acceso a dichas infraestructuras;</w:t>
                  </w:r>
                </w:p>
              </w:t>
            </w:r>
          </w:p>
          <w:p>
            <w:pPr>
              <w:ind w:left="-284" w:right="-427"/>
              <w:jc w:val="both"/>
              <w:rPr>
                <w:rFonts/>
                <w:color w:val="262626" w:themeColor="text1" w:themeTint="D9"/>
              </w:rPr>
            </w:pPr>
            <w:r>
              <w:t>
                <w:p>
                  <w:pPr>
                    <w:ind w:left="-284" w:right="-427"/>
                    <w:jc w:val="both"/>
                    <w:rPr>
                      <w:rFonts/>
                      <w:color w:val="262626" w:themeColor="text1" w:themeTint="D9"/>
                    </w:rPr>
                  </w:pPr>
                  <w:r>
                    <w:t>las prácticas de contratación abiertas, transparentes y basadas en el mérito no se aplican aún frecuentemente para todos los puestos de investigación; por ejemplo, más de la mitad de las vacantes no se publican aún a nivel europeo a través del portal de empleo EURAXESS, lo que dificulta la movilidad de los investigadores y significa que no siempre se contrata a la persona más idónea para el puesto;</w:t>
                  </w:r>
                </w:p>
              </w:t>
            </w:r>
          </w:p>
          <w:p>
            <w:pPr>
              <w:ind w:left="-284" w:right="-427"/>
              <w:jc w:val="both"/>
              <w:rPr>
                <w:rFonts/>
                <w:color w:val="262626" w:themeColor="text1" w:themeTint="D9"/>
              </w:rPr>
            </w:pPr>
            <w:r>
              <w:t>
                <w:p>
                  <w:pPr>
                    <w:ind w:left="-284" w:right="-427"/>
                    <w:jc w:val="both"/>
                    <w:rPr>
                      <w:rFonts/>
                      <w:color w:val="262626" w:themeColor="text1" w:themeTint="D9"/>
                    </w:rPr>
                  </w:pPr>
                  <w:r>
                    <w:t>la desigualdad entre sexos significa que se sigue desaprovechando el talento de las investigadoras; este es el sector del EEI donde menos se ha avanzado;</w:t>
                  </w:r>
                </w:p>
              </w:t>
            </w:r>
          </w:p>
          <w:p>
            <w:pPr>
              <w:ind w:left="-284" w:right="-427"/>
              <w:jc w:val="both"/>
              <w:rPr>
                <w:rFonts/>
                <w:color w:val="262626" w:themeColor="text1" w:themeTint="D9"/>
              </w:rPr>
            </w:pPr>
            <w:r>
              <w:t>
                <w:p>
                  <w:pPr>
                    <w:ind w:left="-284" w:right="-427"/>
                    <w:jc w:val="both"/>
                    <w:rPr>
                      <w:rFonts/>
                      <w:color w:val="262626" w:themeColor="text1" w:themeTint="D9"/>
                    </w:rPr>
                  </w:pPr>
                  <w:r>
                    <w:t>son relativamente pocos los investigadores empleados en la industria en Europa y estos investigadores no están suficientemente preparados para el mercado laboral.</w:t>
                  </w:r>
                </w:p>
              </w:t>
            </w:r>
          </w:p>
          <w:p>
            <w:pPr>
              <w:ind w:left="-284" w:right="-427"/>
              <w:jc w:val="both"/>
              <w:rPr>
                <w:rFonts/>
                <w:color w:val="262626" w:themeColor="text1" w:themeTint="D9"/>
              </w:rPr>
            </w:pPr>
            <w:r>
              <w:t>Contexto</w:t>
            </w:r>
          </w:p>
          <w:p>
            <w:pPr>
              <w:ind w:left="-284" w:right="-427"/>
              <w:jc w:val="both"/>
              <w:rPr>
                <w:rFonts/>
                <w:color w:val="262626" w:themeColor="text1" w:themeTint="D9"/>
              </w:rPr>
            </w:pPr>
            <w:r>
              <w:t>Los líderes de la UE han destacado en distintas ocasiones la importancia de culminar el Espacio Europeo de Investigación y fijaron el plazo de 2014 en las conclusiones del Consejo Europeo de febrero de 2011 y marzo de 2012. </w:t>
            </w:r>
          </w:p>
          <w:p>
            <w:pPr>
              <w:ind w:left="-284" w:right="-427"/>
              <w:jc w:val="both"/>
              <w:rPr>
                <w:rFonts/>
                <w:color w:val="262626" w:themeColor="text1" w:themeTint="D9"/>
              </w:rPr>
            </w:pPr>
            <w:r>
              <w:t>El informe se presenta al año de la adopción de la Comunicación titulada «Una asociación del Espacio Europeo de Investigación reforzada en pos de la excelencia y el crecimiento»,  que señala las acciones que deben llevar a cabo los Estados miembros para realizar el EEI. El informe constituye una base de referencia para la evaluación pormenorizada del EEI prevista en 2014. </w:t>
            </w:r>
          </w:p>
          <w:p>
            <w:pPr>
              <w:ind w:left="-284" w:right="-427"/>
              <w:jc w:val="both"/>
              <w:rPr>
                <w:rFonts/>
                <w:color w:val="262626" w:themeColor="text1" w:themeTint="D9"/>
              </w:rPr>
            </w:pPr>
            <w:r>
              <w:t>Las propuestas de la Comisión relativas a la realización del EEI se centran en cinco ámbitos clave en los que es necesario avanzar:</w:t>
            </w:r>
          </w:p>
          <w:p>
            <w:pPr>
              <w:ind w:left="-284" w:right="-427"/>
              <w:jc w:val="both"/>
              <w:rPr>
                <w:rFonts/>
                <w:color w:val="262626" w:themeColor="text1" w:themeTint="D9"/>
              </w:rPr>
            </w:pPr>
            <w:r>
              <w:t>
                <w:p>
                  <w:pPr>
                    <w:ind w:left="-284" w:right="-427"/>
                    <w:jc w:val="both"/>
                    <w:rPr>
                      <w:rFonts/>
                      <w:color w:val="262626" w:themeColor="text1" w:themeTint="D9"/>
                    </w:rPr>
                  </w:pPr>
                  <w:r>
                    <w:t>reforzar la eficacia de los sistemas nacionales de investigación; </w:t>
                  </w:r>
                </w:p>
              </w:t>
            </w:r>
          </w:p>
          <w:p>
            <w:pPr>
              <w:ind w:left="-284" w:right="-427"/>
              <w:jc w:val="both"/>
              <w:rPr>
                <w:rFonts/>
                <w:color w:val="262626" w:themeColor="text1" w:themeTint="D9"/>
              </w:rPr>
            </w:pPr>
            <w:r>
              <w:t>
                <w:p>
                  <w:pPr>
                    <w:ind w:left="-284" w:right="-427"/>
                    <w:jc w:val="both"/>
                    <w:rPr>
                      <w:rFonts/>
                      <w:color w:val="262626" w:themeColor="text1" w:themeTint="D9"/>
                    </w:rPr>
                  </w:pPr>
                  <w:r>
                    <w:t>mejorar la cooperación y la competencia transnacionales, concretamente a través de la construcción y gestión eficaces de infraestructuras de investigación clave;</w:t>
                  </w:r>
                </w:p>
              </w:t>
            </w:r>
          </w:p>
          <w:p>
            <w:pPr>
              <w:ind w:left="-284" w:right="-427"/>
              <w:jc w:val="both"/>
              <w:rPr>
                <w:rFonts/>
                <w:color w:val="262626" w:themeColor="text1" w:themeTint="D9"/>
              </w:rPr>
            </w:pPr>
            <w:r>
              <w:t>
                <w:p>
                  <w:pPr>
                    <w:ind w:left="-284" w:right="-427"/>
                    <w:jc w:val="both"/>
                    <w:rPr>
                      <w:rFonts/>
                      <w:color w:val="262626" w:themeColor="text1" w:themeTint="D9"/>
                    </w:rPr>
                  </w:pPr>
                  <w:r>
                    <w:t>conseguir un mercado laboral más abierto para los investigadores; </w:t>
                  </w:r>
                </w:p>
              </w:t>
            </w:r>
          </w:p>
          <w:p>
            <w:pPr>
              <w:ind w:left="-284" w:right="-427"/>
              <w:jc w:val="both"/>
              <w:rPr>
                <w:rFonts/>
                <w:color w:val="262626" w:themeColor="text1" w:themeTint="D9"/>
              </w:rPr>
            </w:pPr>
            <w:r>
              <w:t>
                <w:p>
                  <w:pPr>
                    <w:ind w:left="-284" w:right="-427"/>
                    <w:jc w:val="both"/>
                    <w:rPr>
                      <w:rFonts/>
                      <w:color w:val="262626" w:themeColor="text1" w:themeTint="D9"/>
                    </w:rPr>
                  </w:pPr>
                  <w:r>
                    <w:t>lograr la igualdad entre los sexos y la integración de la perspectiva de género en las organizaciones encargadas de seleccionar y ejecutar proyectos de investigación, y</w:t>
                  </w:r>
                </w:p>
              </w:t>
            </w:r>
          </w:p>
          <w:p>
            <w:pPr>
              <w:ind w:left="-284" w:right="-427"/>
              <w:jc w:val="both"/>
              <w:rPr>
                <w:rFonts/>
                <w:color w:val="262626" w:themeColor="text1" w:themeTint="D9"/>
              </w:rPr>
            </w:pPr>
            <w:r>
              <w:t>
                <w:p>
                  <w:pPr>
                    <w:ind w:left="-284" w:right="-427"/>
                    <w:jc w:val="both"/>
                    <w:rPr>
                      <w:rFonts/>
                      <w:color w:val="262626" w:themeColor="text1" w:themeTint="D9"/>
                    </w:rPr>
                  </w:pPr>
                  <w:r>
                    <w:t>obtener una difusión, un acceso y una transferencia óptimos del conocimiento científico, en particular a través de medios digitales. </w:t>
                  </w:r>
                </w:p>
              </w:t>
            </w:r>
          </w:p>
          <w:p>
            <w:pPr>
              <w:ind w:left="-284" w:right="-427"/>
              <w:jc w:val="both"/>
              <w:rPr>
                <w:rFonts/>
                <w:color w:val="262626" w:themeColor="text1" w:themeTint="D9"/>
              </w:rPr>
            </w:pPr>
            <w:r>
              <w:t>La información recogida en el informe de situación del EEI procede de distintas fuentes, concretamente los programas nacionales de reformas de 2013 y una lista de medidas elaborada por el Instituto de Prospectiva Tecnológica del Centro Común de Investigación. La Comisión también ha llevado a cabo un estudio sobre las organizaciones financiadoras de la investigación y ejecutoras de la investigación en todos los Estados miembros y países asociados al programa de investigación de la UE. Esta información es complementaria del estudio MORE 2 y del informe de 2013 relativo a los investigadores publicado por separado en el portal EURAXESS. En la mayoría de los casos, las autoridades nacionales han completado la lista de medidas, a petición de la Comisión.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Espacio Europeo de Investigación</w:t>
            </w:r>
          </w:p>
          <w:p>
            <w:pPr>
              <w:ind w:left="-284" w:right="-427"/>
              <w:jc w:val="both"/>
              <w:rPr>
                <w:rFonts/>
                <w:color w:val="262626" w:themeColor="text1" w:themeTint="D9"/>
              </w:rPr>
            </w:pPr>
            <w:r>
              <w:t>Portal EURAXESS</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Michael Jennings (+32 2 296 33 88) Twitter: @ECSpokesScience</w:t>
            </w:r>
          </w:p>
          <w:p>
            <w:pPr>
              <w:ind w:left="-284" w:right="-427"/>
              <w:jc w:val="both"/>
              <w:rPr>
                <w:rFonts/>
                <w:color w:val="262626" w:themeColor="text1" w:themeTint="D9"/>
              </w:rPr>
            </w:pPr>
            <w:r>
              <w:t>Inma Martinez Garcia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https://www.notasdeprensa.es/primer-informe-sobre-la-situacion-del-eei-el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