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triunfan los neobancos en España, según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pandemia, ha habido un marcado aumento en el uso de neobancos en España, alcanzando aproximadamente al 70% de la población. Este porcentaje es significativamente superior al promedio europeo, que se sitúa en un 60%. En el actual escenario financiero, tienen importancia elementos como la digitalización, la personalización de los servicios financieros, las modificaciones regulatorias y la optimización del modelo operativo mediante herramientas de gestión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la entrada de nuevos actores al mercado financiero y la adopción de tecnologías avanzadas han alterado radicalmente los comportamientos financieros de los clientes. Esta transformación ha redefinido tanto el consumo de servicios como los métodos de pagos financieros, dando forma a un ecosistema financiero eficiente y funcional. Se ha establecido un nuevo paradigma en el cual la digitalización, la optimización operativa mediante herramientas y soluciones de gestión eficaz, la personalización de servicios y los ajustes regulatorios ocupan un lugar central y destacado.</w:t>
            </w:r>
          </w:p>
          <w:p>
            <w:pPr>
              <w:ind w:left="-284" w:right="-427"/>
              <w:jc w:val="both"/>
              <w:rPr>
                <w:rFonts/>
                <w:color w:val="262626" w:themeColor="text1" w:themeTint="D9"/>
              </w:rPr>
            </w:pPr>
            <w:r>
              <w:t>El informe "La digitalización como eje de transformación bancaria", elaborado por Funcas-KPMG, revela un aumento del 30% en el uso de la banca digital en España desde el inicio de la pandemia, alcanzando al 70% de la población. Este porcentaje supera la media europea (60%), aunque queda por debajo de los países nórdicos, que registran un impresionante 92%. Además, las proyecciones indican que en los próximos cinco años se espera que este índice aumente hasta el 85%.</w:t>
            </w:r>
          </w:p>
          <w:p>
            <w:pPr>
              <w:ind w:left="-284" w:right="-427"/>
              <w:jc w:val="both"/>
              <w:rPr>
                <w:rFonts/>
                <w:color w:val="262626" w:themeColor="text1" w:themeTint="D9"/>
              </w:rPr>
            </w:pPr>
            <w:r>
              <w:t>El auge de los neobancos o entidades completamente digitales ha llevado a un crecimiento del 30% en su cuota de mercado. Este logro se atribuye a la sólida consolidación de la digitalización, el aumento en la contratación de productos exclusivamente digitales y una experiencia de usuario mejorada y satisfactoria.</w:t>
            </w:r>
          </w:p>
          <w:p>
            <w:pPr>
              <w:ind w:left="-284" w:right="-427"/>
              <w:jc w:val="both"/>
              <w:rPr>
                <w:rFonts/>
                <w:color w:val="262626" w:themeColor="text1" w:themeTint="D9"/>
              </w:rPr>
            </w:pPr>
            <w:r>
              <w:t>En 2022, la tasa de contratación digital de productos financieros alcanzó el 50% en los grandes bancos españoles, superando el 70% en aquellos más avanzados digitalmente. Las operaciones de pagos digitales se han duplicado en los últimos tres años. Aunque el efectivo sigue siendo el principal medio de pago, representando el 65% de las transacciones totales, las e-wallets o carteras digitales ya constituyen el 30% de las transacciones de comercio electrónico.</w:t>
            </w:r>
          </w:p>
          <w:p>
            <w:pPr>
              <w:ind w:left="-284" w:right="-427"/>
              <w:jc w:val="both"/>
              <w:rPr>
                <w:rFonts/>
                <w:color w:val="262626" w:themeColor="text1" w:themeTint="D9"/>
              </w:rPr>
            </w:pPr>
            <w:r>
              <w:t>Según el informe, se espera que en los próximos cinco años, tres de cada cuatro operaciones sean digitales. Este crecimiento dependerá de la capacidad de generar beneficios y ofrecer servicios financieros personalizados a los clientes. La omnicanalidad de las entidades se mantiene como una ventaja competitiva clave en el sector.</w:t>
            </w:r>
          </w:p>
          <w:p>
            <w:pPr>
              <w:ind w:left="-284" w:right="-427"/>
              <w:jc w:val="both"/>
              <w:rPr>
                <w:rFonts/>
                <w:color w:val="262626" w:themeColor="text1" w:themeTint="D9"/>
              </w:rPr>
            </w:pPr>
            <w:r>
              <w:t>Los neobancos que operan en España han atraído una cifra de 6.100 millones de euros entre diciembre de 2022 y junio de 2023, según los datos compartidos por las asociaciones bancarias AEB (Asociación Española de Banca) y CECA (Confederación Española de Cajas de Ahorros). La mayoría de estos neobancos han experimentado un aumento en sus saldos durante el primer semestre de 2023, impulsado por la mayor rentabilidad de sus productos.</w:t>
            </w:r>
          </w:p>
          <w:p>
            <w:pPr>
              <w:ind w:left="-284" w:right="-427"/>
              <w:jc w:val="both"/>
              <w:rPr>
                <w:rFonts/>
                <w:color w:val="262626" w:themeColor="text1" w:themeTint="D9"/>
              </w:rPr>
            </w:pPr>
            <w:r>
              <w:t>En este contexto, Antonio García Rouco, director general de GDS Modellica, destaca la necesidad de que la banca española continúe su camino hacia la digitalización para hacer frente a los nuevos desafíos. Según García Rouco, algunos de los retos financieros incluyen la integración de la Inteligencia Artificial y el Machine Learning en los sistemas y servicios, el fortalecimiento de la ciberseguridad para proteger la operatividad y la reputación de las entidades, así como los datos de los consumidores, y la adaptación a los nuevos entornos normativos y regulatorios.</w:t>
            </w:r>
          </w:p>
          <w:p>
            <w:pPr>
              <w:ind w:left="-284" w:right="-427"/>
              <w:jc w:val="both"/>
              <w:rPr>
                <w:rFonts/>
                <w:color w:val="262626" w:themeColor="text1" w:themeTint="D9"/>
              </w:rPr>
            </w:pPr>
            <w:r>
              <w:t>García Rouco subraya que las instituciones financieras, incluyendo los neobancos, necesitan contar con herramientas mejor integradas en toda la empresa para tener éxito. Señala que la regulación, el cumplimiento y la gestión del riesgo representan una carga operativa, por lo que es esencial implementar herramientas y soluciones integrales que mejoren los servicios, garanticen la seguridad y reduzcan el fraude.</w:t>
            </w:r>
          </w:p>
          <w:p>
            <w:pPr>
              <w:ind w:left="-284" w:right="-427"/>
              <w:jc w:val="both"/>
              <w:rPr>
                <w:rFonts/>
                <w:color w:val="262626" w:themeColor="text1" w:themeTint="D9"/>
              </w:rPr>
            </w:pPr>
            <w:r>
              <w:t>Destaca que aquellos que han utilizado estas soluciones han experimentado mejoras significativas en el control de riesgos, el aumento de ingresos, la eficacia operativa y la satisfacción del cliente. La gestión eficaz proporciona ventajas competitivas al mejorar la operatividad, facilitar la toma de decisiones fundamentadas y gestionar de manera efectiva los riesgos.</w:t>
            </w:r>
          </w:p>
          <w:p>
            <w:pPr>
              <w:ind w:left="-284" w:right="-427"/>
              <w:jc w:val="both"/>
              <w:rPr>
                <w:rFonts/>
                <w:color w:val="262626" w:themeColor="text1" w:themeTint="D9"/>
              </w:rPr>
            </w:pPr>
            <w:r>
              <w:t>En este sentido, destaca que soluciones y tecnologías como la de GDS Modellica son fundamentales para garantizar la automatización, operatividad, reputación y ciberseguridad en este nuevo paradigma financiero. GDS Modellica ofrece una plataforma sólida con un enfoque holístico, siendo su Decision Suite una solución destacada para la automatización de procesos como Admisión, Fraude en Solicitudes o Recobros, mejorando la gestión, eficacia y eficiencia operativa en instituciones financieras, incluyendo los neobancos. Su flexibilidad y lógica son clave para un control de riesgos mejorado y un servicio al cliente eficiente.</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https://www.notasdeprensa.es/por-que-triunfan-los-neobancos-en-espana-segun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Software Ciberseguridad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