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Policlínica Gipuzkoa inaugura una nueva Unidad de Análisis Clínicos con la última tecnología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paciente puede acceder a la nueva Unidad de Análisis Clínicos directamente desde la puerta principal, bajando una planta; o desde el exterior, por la parte identificada en la parte trasera del edificio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Unidad de Análisis Clínicos de Policlínica Gipuzkoa acaba de abrir sus puertas, e incorpora la última tecnología en materia de digitalización de sistemas de acceso para los pacientes, así como de sistematización de las extracciones y su procesamiento.</w:t>
            </w:r>
          </w:p>
          <w:p>
            <w:pPr>
              <w:ind w:left="-284" w:right="-427"/>
              <w:jc w:val="both"/>
              <w:rPr>
                <w:rFonts/>
                <w:color w:val="262626" w:themeColor="text1" w:themeTint="D9"/>
              </w:rPr>
            </w:pPr>
            <w:r>
              <w:t>Esto permitirá que los pacientes puedan registrarse en cuanto lleguen en las diferentes consolas habilitadas para ello en el área de la Unidad y su entorno, metiendo su número de DNI o su tarjeta de seguro médico privado, de tal forma que automáticamente podrá ser llamado desde los monitores de las salas de espera para acudir a su punto donde se le realizará la extracción de sangre.</w:t>
            </w:r>
          </w:p>
          <w:p>
            <w:pPr>
              <w:ind w:left="-284" w:right="-427"/>
              <w:jc w:val="both"/>
              <w:rPr>
                <w:rFonts/>
                <w:color w:val="262626" w:themeColor="text1" w:themeTint="D9"/>
              </w:rPr>
            </w:pPr>
            <w:r>
              <w:t>Este nuevo espacio dispone de varias salas individuales, así como una sala múltiple para poder atender simultáneamente a varios pacientes y poder ser más ágiles en los momentos punta cuando coinciden muchas personas para realizarse extracciones de sangre.</w:t>
            </w:r>
          </w:p>
          <w:p>
            <w:pPr>
              <w:ind w:left="-284" w:right="-427"/>
              <w:jc w:val="both"/>
              <w:rPr>
                <w:rFonts/>
                <w:color w:val="262626" w:themeColor="text1" w:themeTint="D9"/>
              </w:rPr>
            </w:pPr>
            <w:r>
              <w:t>Para facilitar el acceso de los pacientes, la nueva Unidad de Análisis Clínicos de Policlínica Gipuzkoa dispone de una entrada desde el exterior, por la parte trasera del edificio, con aparcamiento propio y bien identificada con un letrero luminoso. No obstante, también se puede acudir desde el interior del propio hospital, ya que la unidad se encuentra ubicada en la planta -1.</w:t>
            </w:r>
          </w:p>
          <w:p>
            <w:pPr>
              <w:ind w:left="-284" w:right="-427"/>
              <w:jc w:val="both"/>
              <w:rPr>
                <w:rFonts/>
                <w:color w:val="262626" w:themeColor="text1" w:themeTint="D9"/>
              </w:rPr>
            </w:pPr>
            <w:r>
              <w:t>Con esta nueva Unidad de Análisis Clínicos, Policlínica Gipuzkoa da un nuevo paso en el proceso de transformación digital de sus servicios buscando poner siempre al paciente en el centro, para ofrecerle la mayor seguridad y le mejor experiencia posible, buscando resolver siempre con eficiencia sus necesidades de salud.</w:t>
            </w:r>
          </w:p>
          <w:p>
            <w:pPr>
              <w:ind w:left="-284" w:right="-427"/>
              <w:jc w:val="both"/>
              <w:rPr>
                <w:rFonts/>
                <w:color w:val="262626" w:themeColor="text1" w:themeTint="D9"/>
              </w:rPr>
            </w:pPr>
            <w:r>
              <w:t>Sobre QuirónsaludQuirónsalud es el grupo de salud líder en España y, junto con su matriz Fresenius-Helios, también en Europa. Además de su actividad en España, Quirónsalud está también presente en Latinoamérica, particularmente en Colombia y Perú. Conjuntamente, cuenta con más de 50.000 profesionales en más de 180 centros sanitarios, entre los que se encuentran 57 hospitales con más de 8.000 camas hospitalarias. Dispone de la tecnología más avanzada y de un gran equipo de profesionales altamente especializado y de prestigio internacional. Entre sus centros, se encuentran el Hospital Universitario Fundación Jiménez Díaz, Centro Médico Teknon, Ruber Internacional, Hospital Universitario Quirónsalud Madrid, Hospital Quirónsalud Barcelona, Hospital Universitario Dexeus, Policlínica Gipuzkoa, Hospital Universitari General de Catalunya, Hospital Quirónsalud Sagrado Corazón, etc. </w:t>
            </w:r>
          </w:p>
          <w:p>
            <w:pPr>
              <w:ind w:left="-284" w:right="-427"/>
              <w:jc w:val="both"/>
              <w:rPr>
                <w:rFonts/>
                <w:color w:val="262626" w:themeColor="text1" w:themeTint="D9"/>
              </w:rPr>
            </w:pPr>
            <w:r>
              <w:t>El Grupo trabaja en la promoción de la docencia (diez de sus hospitales son universitarios) y la investigación médico-científica (cuenta con el Instituto de Investigación Sanitaria de la FJD,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 / Comunicación</w:t>
      </w:r>
    </w:p>
    <w:p w:rsidR="00AB63FE" w:rsidRDefault="00C31F72" w:rsidP="00AB63FE">
      <w:pPr>
        <w:pStyle w:val="Sinespaciado"/>
        <w:spacing w:line="276" w:lineRule="auto"/>
        <w:ind w:left="-284"/>
        <w:rPr>
          <w:rFonts w:ascii="Arial" w:hAnsi="Arial" w:cs="Arial"/>
        </w:rPr>
      </w:pPr>
      <w:r>
        <w:rPr>
          <w:rFonts w:ascii="Arial" w:hAnsi="Arial" w:cs="Arial"/>
        </w:rPr>
        <w:t>654 09 69 91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https://www.notasdeprensa.es/policlinica-gipuzkoa-inaugura-una-nueva-unidad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