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Alcoy (Alicante) el 28/11/2007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Pintores Levantinos exponen sus obras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Cerdà Gironés,R.Fuster y S.Fuster exponen su obra  en la galeria online Blangar.es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27/11/2007 -La Galería de Arte Blangar.es de reciente creación inauguró su sala de arte virtual en internet con Obras de Cerdá Gironés, R.Fuster y S.Fuster como representantes de los diversos estilos de a pintura levantina actual.Las obras de Cerdá Gironés son el color del mediterráneo,la facilidad de plasmar el paisaje con  rápidas y delicadas pinceladas dotándolo de un gran detallismo.Por otra parte R.Fuster y S.Fuster (padre e hijo respectivamente),representan el cambio generacional. R.Fuster nos presenta obras en las que el motivo principal son los pequeños pueblos de las montañas de Alicante ,pintados con gran dominio de la técnica  del óleo y la textura .S.Fuster por su parte es la juventud,la fuerza,sus cuadros siendo reconocibles dentro de una misma línea pictórica se mueven entre diversos estilos ,algunos son realistas ,otros  rozan la abstracción,otros casi subrealistas.Una pintura de gran calidad y de difícil clasificación que no pueden dejar de ver.Visitenos en http://www.blangar.es/galeria</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https://www.notasdeprensa.es/pintores-levantinos-exponen-sus-obras-en-internet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