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Penn Park Capital obtiene 750 millones de euros de los principales fondos de pensiones europeos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Penn Park Capital Management se asegura 750 millones de euros en mandatos discrecionales de los principales fondos de pensiones europeos, con nuevos compromisos ya programados para 2025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Penn Park Capital Management se complace en anunciar que varios destacados fondos de pensiones europeos han confiado a la firma mandatos discrecionales por un total aproximado de 750 millones de euros, con un compromiso adicional de 1.300 millones de euros previsto para 2025. En virtud de estos mandatos, Penn Park gestionará activos en nombre de varios fondos de pensiones importantes, proporcionando una gestión integral de inversiones y servicios de asesoramiento estratégico diseñados para maximizar el valor y optimizar los rendimientos en línea con los objetivos únicos de cada fondo.</w:t>
            </w:r>
          </w:p>
          <w:p>
            <w:pPr>
              <w:ind w:left="-284" w:right="-427"/>
              <w:jc w:val="both"/>
              <w:rPr>
                <w:rFonts/>
                <w:color w:val="262626" w:themeColor="text1" w:themeTint="D9"/>
              </w:rPr>
            </w:pPr>
            <w:r>
              <w:t>Un año récord impulsado por el buen rendimiento de las inversionesEste hito se produce en medio de uno de los años más exitosos de Penn Park Capital, impulsado por el fuerte rendimiento de los fondos gestionados y las estrategias de capital privado de la firma, especialmente en sectores de alto crecimiento como la exploración espacial privada, las telecomunicaciones y la inteligencia artificial (IA). Al capitalizar las oportunidades en estas áreas transformadoras, Penn Park ha logrado rendimientos que han superado a todos los principales fondos indexados, lo que subraya la capacidad de la empresa para generar valor de manera consistente en los mercados emergentes.</w:t>
            </w:r>
          </w:p>
          <w:p>
            <w:pPr>
              <w:ind w:left="-284" w:right="-427"/>
              <w:jc w:val="both"/>
              <w:rPr>
                <w:rFonts/>
                <w:color w:val="262626" w:themeColor="text1" w:themeTint="D9"/>
              </w:rPr>
            </w:pPr>
            <w:r>
              <w:t>Ampliación del alcance de las inversiones en sectores innovadoresCon este nuevo e importante capital gestionado, Penn Park está bien posicionada para ampliar su alcance de inversión a través de sectores de vanguardia, permitiendo a los inversores institucionales y minoristas por igual lograr rendimientos específicos y crecimiento estratégico. Esta financiación adicional respaldará la misión de la empresa de ofrecer a los clientes estrategias de inversión superiores, basadas en la investigación y alineadas tanto con las tendencias a largo plazo como con las oportunidades de crecimiento inmediato.</w:t>
            </w:r>
          </w:p>
          <w:p>
            <w:pPr>
              <w:ind w:left="-284" w:right="-427"/>
              <w:jc w:val="both"/>
              <w:rPr>
                <w:rFonts/>
                <w:color w:val="262626" w:themeColor="text1" w:themeTint="D9"/>
              </w:rPr>
            </w:pPr>
            <w:r>
              <w:t>Impulso a la captación de clientes para el último trimestre de 2024Aprovechando los resultados récord de este año, Penn Park también está lanzando una importante campaña de captación de clientes para el último trimestre de 2024. Para atender la creciente demanda de clientes institucionales y minoristas, la empresa está ampliando su equipo, reforzando su capacidad para ofrecer un servicio de alta calidad y soluciones de inversión personalizadas.</w:t>
            </w:r>
          </w:p>
          <w:p>
            <w:pPr>
              <w:ind w:left="-284" w:right="-427"/>
              <w:jc w:val="both"/>
              <w:rPr>
                <w:rFonts/>
                <w:color w:val="262626" w:themeColor="text1" w:themeTint="D9"/>
              </w:rPr>
            </w:pPr>
            <w:r>
              <w:t>"Nos sentimos honrados de gestionar estos activos discrecionales en nombre de los principales fondos de pensiones europeos", declaró Michael Horsham, Director de Desarrollo de Negocio de Penn Park Capital Management. "Su confianza refleja nuestra trayectoria y experiencia, especialmente en el sector del capital riesgo, donde hemos identificado y aprovechado sistemáticamente oportunidades transformadoras. Los resultados de este año validan la solidez de nuestro enfoque de inversión, y esperamos apoyar a nuestros clientes con soluciones innovadoras y orientadas al rendimiento".</w:t>
            </w:r>
          </w:p>
          <w:p>
            <w:pPr>
              <w:ind w:left="-284" w:right="-427"/>
              <w:jc w:val="both"/>
              <w:rPr>
                <w:rFonts/>
                <w:color w:val="262626" w:themeColor="text1" w:themeTint="D9"/>
              </w:rPr>
            </w:pPr>
            <w:r>
              <w:t>Crecimiento estratégico del equipo para satisfacer la creciente demandaDe cara al futuro, los compromisos de capital adicionales previstos para 2025 permitirán a Penn Park centrarse más en los fondos gestionados, la renta variable privada y los sectores de alto crecimiento con un fuerte potencial de rentabilidad. La firma sigue dedicada a ofrecer estrategias basadas en el valor y adaptadas a los objetivos específicos de cada mandato discrecional, garantizando que estos fondos de pensiones se beneficien de una gestión de activos sofisticada y centrada en la investigación.</w:t>
            </w:r>
          </w:p>
          <w:p>
            <w:pPr>
              <w:ind w:left="-284" w:right="-427"/>
              <w:jc w:val="both"/>
              <w:rPr>
                <w:rFonts/>
                <w:color w:val="262626" w:themeColor="text1" w:themeTint="D9"/>
              </w:rPr>
            </w:pPr>
            <w:r>
              <w:t>En respuesta a la creciente demanda de los clientes, Penn Park Capital está ampliando estratégicamente su equipo, incorporando gestores de cartera, analistas y profesionales de atención al cliente experimentados. Este crecimiento permitirá a la empresa mantener su alto nivel de servicio personalizado, al tiempo que satisface las necesidades de una base de clientes cada vez mayor.</w:t>
            </w:r>
          </w:p>
          <w:p>
            <w:pPr>
              <w:ind w:left="-284" w:right="-427"/>
              <w:jc w:val="both"/>
              <w:rPr>
                <w:rFonts/>
                <w:color w:val="262626" w:themeColor="text1" w:themeTint="D9"/>
              </w:rPr>
            </w:pPr>
            <w:r>
              <w:t>Sobre Penn Park Capital ManagementPenn Park Capital Management es una empresa europea líder en gestión de patrimonios y gestora de fondos, especializada en fondos de gestión privada y financiación de capital riesgo para proporcionar a los clientes acceso a algunos de los sectores y clases de activos más prometedores de la actualidad. Con un firme compromiso con las soluciones de inversión innovadoras y estratégicas, Penn Park Capital presta sus servicios tanto a clientes institucionales como minoristas que buscan una rentabilidad superior y un enfoque con visión de futuro de la gestión de patrimonios.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Esme Mcalley-Burnside</w:t>
      </w:r>
    </w:p>
    <w:p w:rsidR="00C31F72" w:rsidRDefault="00C31F72" w:rsidP="00AB63FE">
      <w:pPr>
        <w:pStyle w:val="Sinespaciado"/>
        <w:spacing w:line="276" w:lineRule="auto"/>
        <w:ind w:left="-284"/>
        <w:rPr>
          <w:rFonts w:ascii="Arial" w:hAnsi="Arial" w:cs="Arial"/>
        </w:rPr>
      </w:pPr>
      <w:r>
        <w:rPr>
          <w:rFonts w:ascii="Arial" w:hAnsi="Arial" w:cs="Arial"/>
        </w:rPr>
        <w:t>Penn Park Capital Management</w:t>
      </w:r>
    </w:p>
    <w:p w:rsidR="00AB63FE" w:rsidRDefault="00C31F72" w:rsidP="00AB63FE">
      <w:pPr>
        <w:pStyle w:val="Sinespaciado"/>
        <w:spacing w:line="276" w:lineRule="auto"/>
        <w:ind w:left="-284"/>
        <w:rPr>
          <w:rFonts w:ascii="Arial" w:hAnsi="Arial" w:cs="Arial"/>
        </w:rPr>
      </w:pPr>
      <w:r>
        <w:rPr>
          <w:rFonts w:ascii="Arial" w:hAnsi="Arial" w:cs="Arial"/>
        </w:rPr>
        <w:t>+44020 3773 7888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https://www.notasdeprensa.es/penn-park-capital-obtiene-750-millones-de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