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recibimos un Grupo Fomento en grave crisis y ahora produce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en el Congreso que al inicio de la legislatura el Grupo Fomento estaba en “grave crisis”, con un resultado en 2011 que arrojaba fuertes pérdidas por importe de 694 millones, y ahora presenta “resultados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“Hemos mejorado sustancialmente los resultados de las empresas, aumentando los ingresos y reduciendo los gastos. La previsión para 2015 muestra un EBITDA rozando ya los 3.000 millones de euros, un 38% superior al de 2011”, ha remarcado Pastor.</w:t>
            </w:r>
          </w:p>
          <w:p>
            <w:pPr>
              <w:ind w:left="-284" w:right="-427"/>
              <w:jc w:val="both"/>
              <w:rPr>
                <w:rFonts/>
                <w:color w:val="262626" w:themeColor="text1" w:themeTint="D9"/>
              </w:rPr>
            </w:pPr>
            <w:r>
              <w:t>	Estos presupuestos, ha dicho la ministra, son coherentes con la política del Gobierno, cuyos principales objetivos son la consolidación fiscal, la recuperación económica y la cohesión y vertebración territorial. Pastor ha asegurado que se puede consolidar la recuperación económica y hacer que el Ministerio de Fomento sea palanca de crecimiento y, a su vez, que cada euro que se invierta sea empleando bien los recursos públicos.</w:t>
            </w:r>
          </w:p>
          <w:p>
            <w:pPr>
              <w:ind w:left="-284" w:right="-427"/>
              <w:jc w:val="both"/>
              <w:rPr>
                <w:rFonts/>
                <w:color w:val="262626" w:themeColor="text1" w:themeTint="D9"/>
              </w:rPr>
            </w:pPr>
            <w:r>
              <w:t>	La ministra ha destacado que, por primera vez desde el inicio de la legislatura, el presupuesto se destina en su totalidad “a mirar al futuro y no a atender las deudas del pasado, tras sanear desde 2012 más de 5.550 millones de euros.</w:t>
            </w:r>
          </w:p>
          <w:p>
            <w:pPr>
              <w:ind w:left="-284" w:right="-427"/>
              <w:jc w:val="both"/>
              <w:rPr>
                <w:rFonts/>
                <w:color w:val="262626" w:themeColor="text1" w:themeTint="D9"/>
              </w:rPr>
            </w:pPr>
            <w:r>
              <w:t>	El PGE 2015: apuesta por la inversión</w:t>
            </w:r>
          </w:p>
          <w:p>
            <w:pPr>
              <w:ind w:left="-284" w:right="-427"/>
              <w:jc w:val="both"/>
              <w:rPr>
                <w:rFonts/>
                <w:color w:val="262626" w:themeColor="text1" w:themeTint="D9"/>
              </w:rPr>
            </w:pPr>
            <w:r>
              <w:t>	El presupuesto consolidado del Grupo Fomento para 2015 que incluye, además del Ministerio, empresas como ADIF, SEITSA, RENFE, AENA S.A., ENAIRE, AESA, Puertos del Estado, INECO, SASEMAR y SEPES, SECEGSA, SENASA y aquellas empresas dependientes de éstas, asciende a 17.496 millones de euros, lo que supone un crecimiento real de un 6,1%. De estas cifras, la inversión presupuestada en 2015 se eleva a 9.570 millones de euros.</w:t>
            </w:r>
          </w:p>
          <w:p>
            <w:pPr>
              <w:ind w:left="-284" w:right="-427"/>
              <w:jc w:val="both"/>
              <w:rPr>
                <w:rFonts/>
                <w:color w:val="262626" w:themeColor="text1" w:themeTint="D9"/>
              </w:rPr>
            </w:pPr>
            <w:r>
              <w:t>	Las inversiones se reparten entre los 5.199 M€ para ferrocarriles, los 2.194 M€ para carreteras, 961 M€ para política portuaria y seguridad marítima, 628 M€ para actuaciones de vivienda y suelo, y 535 M€ para aeropuertos, navegación y seguridad aérea.</w:t>
            </w:r>
          </w:p>
          <w:p>
            <w:pPr>
              <w:ind w:left="-284" w:right="-427"/>
              <w:jc w:val="both"/>
              <w:rPr>
                <w:rFonts/>
                <w:color w:val="262626" w:themeColor="text1" w:themeTint="D9"/>
              </w:rPr>
            </w:pPr>
            <w:r>
              <w:t>	Ferrocarriles</w:t>
            </w:r>
          </w:p>
          <w:p>
            <w:pPr>
              <w:ind w:left="-284" w:right="-427"/>
              <w:jc w:val="both"/>
              <w:rPr>
                <w:rFonts/>
                <w:color w:val="262626" w:themeColor="text1" w:themeTint="D9"/>
              </w:rPr>
            </w:pPr>
            <w:r>
              <w:t>	En el sector ferroviario, destaca la inversión en alta velocidad, con 3.561 M€, que permitirán seguir completando y poniendo en valor grandes proyectos.		Los principales Corredores a los que se destinará esta inversión son: el Corredor Noroeste de Alta Velocidad (1.031,1 M€), Corredor Mediterráneo (1.359,2 M€), Corredor Norte de Alta Velocidad (1.119,7 M€) y corredor Sur (con 28,8 M€).</w:t>
            </w:r>
          </w:p>
          <w:p>
            <w:pPr>
              <w:ind w:left="-284" w:right="-427"/>
              <w:jc w:val="both"/>
              <w:rPr>
                <w:rFonts/>
                <w:color w:val="262626" w:themeColor="text1" w:themeTint="D9"/>
              </w:rPr>
            </w:pPr>
            <w:r>
              <w:t>	Además, la ministra ha destacado, entre otras, actuaciones como la LAV Madrid-Extremadura-Frontera Portuguesa, la LAV Castejón- Pamplona-Y Vasca, la Conexión en ancho UIC Atocha-Chamartín, los estudios y proyectos de la LAV Zaragoza-Castejón-Logroño-Miranda de Ebro.</w:t>
            </w:r>
          </w:p>
          <w:p>
            <w:pPr>
              <w:ind w:left="-284" w:right="-427"/>
              <w:jc w:val="both"/>
              <w:rPr>
                <w:rFonts/>
                <w:color w:val="262626" w:themeColor="text1" w:themeTint="D9"/>
              </w:rPr>
            </w:pPr>
            <w:r>
              <w:t>	A la Red Convencional se destinan 183 millones de euros, dirigidos a la reposición de activos y al impulso al transporte de mercancías, con los accesos a puertos e instalaciones de mercancías.		En Cercanías, el Ministerio continúa trabajando para optimizar la prestación de los servicios, para captar un mayor número de viajeros y mejorar la red con el criterio de sostenibilidad y eficiencia económica.</w:t>
            </w:r>
          </w:p>
          <w:p>
            <w:pPr>
              <w:ind w:left="-284" w:right="-427"/>
              <w:jc w:val="both"/>
              <w:rPr>
                <w:rFonts/>
                <w:color w:val="262626" w:themeColor="text1" w:themeTint="D9"/>
              </w:rPr>
            </w:pPr>
            <w:r>
              <w:t>	En 2015 se dedican 153 millones de euros, distribuidos en los diferentes núcleos de Cercanías: Cataluña, Madrid, País Vasco, Valencia/Alicante, Cádiz, Málaga y Sevilla, Asturias y Galicia.</w:t>
            </w:r>
          </w:p>
          <w:p>
            <w:pPr>
              <w:ind w:left="-284" w:right="-427"/>
              <w:jc w:val="both"/>
              <w:rPr>
                <w:rFonts/>
                <w:color w:val="262626" w:themeColor="text1" w:themeTint="D9"/>
              </w:rPr>
            </w:pPr>
            <w:r>
              <w:t>	Además, en el apartado de seguridad, se invertirán 435 millones de euros.</w:t>
            </w:r>
          </w:p>
          <w:p>
            <w:pPr>
              <w:ind w:left="-284" w:right="-427"/>
              <w:jc w:val="both"/>
              <w:rPr>
                <w:rFonts/>
                <w:color w:val="262626" w:themeColor="text1" w:themeTint="D9"/>
              </w:rPr>
            </w:pPr>
            <w:r>
              <w:t>	En Renfe, Pastor ha destacado las buenas cifras de tráfico que se están reflejando en el servicio AVE y larga distancia, que muestra crecimientos en el año superiores al 20%. Destaca el comportamiento de los viajeros de alta velocidad, que se sitúan en 14,6 millones, un 20,5% (2,5 millones) por encima de 2013, fruto de la política comercial y de precios iniciado en febrero de 2013.</w:t>
            </w:r>
          </w:p>
          <w:p>
            <w:pPr>
              <w:ind w:left="-284" w:right="-427"/>
              <w:jc w:val="both"/>
              <w:rPr>
                <w:rFonts/>
                <w:color w:val="262626" w:themeColor="text1" w:themeTint="D9"/>
              </w:rPr>
            </w:pPr>
            <w:r>
              <w:t>	Asimismo, los viajeros de larga distancia también presentan un crecimiento del 6,9%, mientras que en el tráfico de mercancías, hasta octubre de 2014, se han transportado 17,7 millones de toneladas, lo que supone un incremento del 10,2%.</w:t>
            </w:r>
          </w:p>
          <w:p>
            <w:pPr>
              <w:ind w:left="-284" w:right="-427"/>
              <w:jc w:val="both"/>
              <w:rPr>
                <w:rFonts/>
                <w:color w:val="262626" w:themeColor="text1" w:themeTint="D9"/>
              </w:rPr>
            </w:pPr>
            <w:r>
              <w:t>	Carreteras</w:t>
            </w:r>
          </w:p>
          <w:p>
            <w:pPr>
              <w:ind w:left="-284" w:right="-427"/>
              <w:jc w:val="both"/>
              <w:rPr>
                <w:rFonts/>
                <w:color w:val="262626" w:themeColor="text1" w:themeTint="D9"/>
              </w:rPr>
            </w:pPr>
            <w:r>
              <w:t>	Con una inversión total de 2.194 M€, en Carreteras se van a acometer nuevas infraestructuras viarias (1.156 M€), que se destinarán, principalmente, al cierre o la continuidad de los principales corredores.</w:t>
            </w:r>
          </w:p>
          <w:p>
            <w:pPr>
              <w:ind w:left="-284" w:right="-427"/>
              <w:jc w:val="both"/>
              <w:rPr>
                <w:rFonts/>
                <w:color w:val="262626" w:themeColor="text1" w:themeTint="D9"/>
              </w:rPr>
            </w:pPr>
            <w:r>
              <w:t>	En este sentido, la ministra ha citado, entre otras, obras de gran relevancia como la autovía A-8 en Asturias y Cantabria, la autovía A-66 entre Benavente y Zamora, la A-7 del Mediterráneo en Granada o la A-15 en Soria. Junto a ellas, se realizarán obras para ampliar la capacidad de las autovías existentes, tales como los terceros carriles en la V-21 y A-3 en Valencia.</w:t>
            </w:r>
          </w:p>
          <w:p>
            <w:pPr>
              <w:ind w:left="-284" w:right="-427"/>
              <w:jc w:val="both"/>
              <w:rPr>
                <w:rFonts/>
                <w:color w:val="262626" w:themeColor="text1" w:themeTint="D9"/>
              </w:rPr>
            </w:pPr>
            <w:r>
              <w:t>	En los entornos urbanos de ciudades se llevarán a cabo actuaciones en circunvalaciones, nuevos accesos a puertos y aeropuertos. Entre ellos destaca el acceso viario al puerto de Barcelona (130M€), infraestructura de la que se colocará la primera piedra en los próximos días, según ha adelantado Pastor.</w:t>
            </w:r>
          </w:p>
          <w:p>
            <w:pPr>
              <w:ind w:left="-284" w:right="-427"/>
              <w:jc w:val="both"/>
              <w:rPr>
                <w:rFonts/>
                <w:color w:val="262626" w:themeColor="text1" w:themeTint="D9"/>
              </w:rPr>
            </w:pPr>
            <w:r>
              <w:t>	Las actuaciones contempladas en el presupuesto también permitirán finalizar en esta legislatura, si no hay problemas técnicos, el puente sobre la Bahía de Cádiz, que supondrá un impulso a la actividad económica de la zona; las obras de la variante de la A-4 en la ronda Suroeste de Córdoba o la variante de Talavera de la Reina.</w:t>
            </w:r>
          </w:p>
          <w:p>
            <w:pPr>
              <w:ind w:left="-284" w:right="-427"/>
              <w:jc w:val="both"/>
              <w:rPr>
                <w:rFonts/>
                <w:color w:val="262626" w:themeColor="text1" w:themeTint="D9"/>
              </w:rPr>
            </w:pPr>
            <w:r>
              <w:t>	El próximo año está previsto poner en servicio cerca de 250 km de nuevos tramos de autovía.</w:t>
            </w:r>
          </w:p>
          <w:p>
            <w:pPr>
              <w:ind w:left="-284" w:right="-427"/>
              <w:jc w:val="both"/>
              <w:rPr>
                <w:rFonts/>
                <w:color w:val="262626" w:themeColor="text1" w:themeTint="D9"/>
              </w:rPr>
            </w:pPr>
            <w:r>
              <w:t>	Subvenciones al transporte</w:t>
            </w:r>
          </w:p>
          <w:p>
            <w:pPr>
              <w:ind w:left="-284" w:right="-427"/>
              <w:jc w:val="both"/>
              <w:rPr>
                <w:rFonts/>
                <w:color w:val="262626" w:themeColor="text1" w:themeTint="D9"/>
              </w:rPr>
            </w:pPr>
            <w:r>
              <w:t>	Pastor ha destacado que de nuevo en 2015 se hace un esfuerzo presupuestario para mantener las diferentes modalidades de subvenciones al transporte. Por este motivo, se incrementan en un 14,3% las partidas destinadas a la bonificación de billetes de transporte aéreo y marítimo de los residentes en territorios no peninsulares y familias numerosas. Con ello, la asignación presupuestaria alcanza los 387 millones de euros.		Se dedica también una importante partida a la financiación de las Obligaciones de Servicio Público (OSP). Dentro del plan de racionalización de estos servicios destaca la partida para compensación por los servicios ferroviarios de cercanías y media distancia, que asciende a 608,7 M€ .</w:t>
            </w:r>
          </w:p>
          <w:p>
            <w:pPr>
              <w:ind w:left="-284" w:right="-427"/>
              <w:jc w:val="both"/>
              <w:rPr>
                <w:rFonts/>
                <w:color w:val="262626" w:themeColor="text1" w:themeTint="D9"/>
              </w:rPr>
            </w:pPr>
            <w:r>
              <w:t>	AENA</w:t>
            </w:r>
          </w:p>
          <w:p>
            <w:pPr>
              <w:ind w:left="-284" w:right="-427"/>
              <w:jc w:val="both"/>
              <w:rPr>
                <w:rFonts/>
                <w:color w:val="262626" w:themeColor="text1" w:themeTint="D9"/>
              </w:rPr>
            </w:pPr>
            <w:r>
              <w:t>	En 2015, Aena invertirá 450 M€, que se destinarán al aprovechamiento de sus infraestructuras aeroportuarias.</w:t>
            </w:r>
          </w:p>
          <w:p>
            <w:pPr>
              <w:ind w:left="-284" w:right="-427"/>
              <w:jc w:val="both"/>
              <w:rPr>
                <w:rFonts/>
                <w:color w:val="262626" w:themeColor="text1" w:themeTint="D9"/>
              </w:rPr>
            </w:pPr>
            <w:r>
              <w:t>	En este sentido, Pastor ha citado algunas de las actuaciones que están previstas: la ampliación de la Pista de Vuelo de A Coruña; la regeneración Pista 36L/18R y el desarrollo urbanístico de la zona de carga de Adolfo Suarez Madrid/Barajas; la puesta en Categoría II/III de Zaragoza; la ampliación Anillo Climatización de Palma de Mallorca; la adquisición de equipos detectores de trazas y de explosivos líquidos para los aeropuertos de la red y actuaciones de mejora de la Seguridad Operacional.</w:t>
            </w:r>
          </w:p>
          <w:p>
            <w:pPr>
              <w:ind w:left="-284" w:right="-427"/>
              <w:jc w:val="both"/>
              <w:rPr>
                <w:rFonts/>
                <w:color w:val="262626" w:themeColor="text1" w:themeTint="D9"/>
              </w:rPr>
            </w:pPr>
            <w:r>
              <w:t>	Puertos</w:t>
            </w:r>
          </w:p>
          <w:p>
            <w:pPr>
              <w:ind w:left="-284" w:right="-427"/>
              <w:jc w:val="both"/>
              <w:rPr>
                <w:rFonts/>
                <w:color w:val="262626" w:themeColor="text1" w:themeTint="D9"/>
              </w:rPr>
            </w:pPr>
            <w:r>
              <w:t>	La inversión presupuestada para 2015 asciende a 862 M€, con un incremento del 10% sobre el presupuesto aprobado para 2013. Algunos de los proyectos de inversión más relevantes previstos para 2015 son: Las nuevas instalaciones portuarias en Punta Langosteira del Puerto de A Coruña, la mejora de viales y redes y ampliación Sur en el Puerto de Barcelona, la mejora del acceso marítimo-fluvial al puerto de Sevilla, las obras de abrigo en el Puerto de Granadilla en Tenerife (62 M€), la nueva dársena de La Esfinge en el Puerto de Las Palmas, la ampliación de la isla verde exterior del Puerto Bahía de Algeciras y la mejora de los accesos ferroviarios al Puerto de Tarragona.</w:t>
            </w:r>
          </w:p>
          <w:p>
            <w:pPr>
              <w:ind w:left="-284" w:right="-427"/>
              <w:jc w:val="both"/>
              <w:rPr>
                <w:rFonts/>
                <w:color w:val="262626" w:themeColor="text1" w:themeTint="D9"/>
              </w:rPr>
            </w:pPr>
            <w:r>
              <w:t>	Además, se destinarán 35 millones de euros por parte de Puertos del Estado para los Puertos de Gijón y A Coruña.</w:t>
            </w:r>
          </w:p>
          <w:p>
            <w:pPr>
              <w:ind w:left="-284" w:right="-427"/>
              <w:jc w:val="both"/>
              <w:rPr>
                <w:rFonts/>
                <w:color w:val="262626" w:themeColor="text1" w:themeTint="D9"/>
              </w:rPr>
            </w:pPr>
            <w:r>
              <w:t>	Vivienda y Suelo</w:t>
            </w:r>
          </w:p>
          <w:p>
            <w:pPr>
              <w:ind w:left="-284" w:right="-427"/>
              <w:jc w:val="both"/>
              <w:rPr>
                <w:rFonts/>
                <w:color w:val="262626" w:themeColor="text1" w:themeTint="D9"/>
              </w:rPr>
            </w:pPr>
            <w:r>
              <w:t>	En Vivienda, el Presupuesto de 2015 cuenta con inversiones por importe de 628 M€ para apoyar el cambio de modelo en la política de vivienda, urbanismo, suelo y edificación, lo que supone un aumento del 19%.</w:t>
            </w:r>
          </w:p>
          <w:p>
            <w:pPr>
              <w:ind w:left="-284" w:right="-427"/>
              <w:jc w:val="both"/>
              <w:rPr>
                <w:rFonts/>
                <w:color w:val="262626" w:themeColor="text1" w:themeTint="D9"/>
              </w:rPr>
            </w:pPr>
            <w:r>
              <w:t>	Al Plan Estatal de fomento del alquiler de viviendas, de la rehabilitación edificatoria y de la regeneración y renovación urbanas 2013-2016 se destinan 533 M€, un 7% más que en el ejercicio anterior. Este importe se distribuye entre los 288 M€ para ayudas estatales al alquiler y la rehabilitación y 245 M€ para el mantenimiento de las ayudas de subsidiación de préstamos para adquirientes de vivienda protegida.</w:t>
            </w:r>
          </w:p>
          <w:p>
            <w:pPr>
              <w:ind w:left="-284" w:right="-427"/>
              <w:jc w:val="both"/>
              <w:rPr>
                <w:rFonts/>
                <w:color w:val="262626" w:themeColor="text1" w:themeTint="D9"/>
              </w:rPr>
            </w:pPr>
            <w:r>
              <w:t>	Pastor ha recordado que se han mantenido las ayudas a los 230.000 perceptores de estas ayudas y ha destacado que ya se han destinado 1.082 millones de euros entre 2012 y 2014 a este fin y que hasta 2040 se abonarán más de 1.800 millones.</w:t>
            </w:r>
          </w:p>
          <w:p>
            <w:pPr>
              <w:ind w:left="-284" w:right="-427"/>
              <w:jc w:val="both"/>
              <w:rPr>
                <w:rFonts/>
                <w:color w:val="262626" w:themeColor="text1" w:themeTint="D9"/>
              </w:rPr>
            </w:pPr>
            <w:r>
              <w:t>	Por otro lado, se financiarán los convenios específicos para rehabilitación y remodelación de barrios (Melilla, Ceuta, Lorca, Chumberas), para lo que se destinan 19M€, un 33% más que en el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https://www.notasdeprensa.es/pastor-recibimos-un-grupo-fomento-en-grave_1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