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19/12/2013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Pastor: los servicios de Alta Velocidad entre España y Francia son el primer paso para la conexión con el resto de 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ministra de Fomento, Ana Pastor, ha señalado hoy en el Congreso que el inicio, el pasado 15 de diciembre, de los servicios internacionales de Alta Velocidad entre España y Francia es un primer paso para la internacionalización de la oferta de alta velocidad española y su conexión con el resto de Europa.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ministra de Fomento, Ana Pastor, ha señalado hoy en el Congreso que el inicio, el pasado 15 de diciembre, de los servicios internacionales de Alta Velocidad entre España y Francia es un primer paso para la internacionalización de la oferta de alta velocidad española y su conexión con el resto de Europa.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respuesta a una pregunta en la sesión de control al Ejecutivo, Pastor ha destacado los importantes avances en la conexión entre España y Francia, en infraestructuras de transporte, en especial en la conexión Mediterránea, pero también en otros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avances, ha indicado la ministra, son el resultado de la excelente colaboración que hay entre los Gobiernos español y francés, que ha hecho posible que el pasado 15 de diciembre se iniciara el primer servicio internacional de Alta Velocidad entre España y Francia.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 un hito en la historia de nuestros países, con la desaparición de las ‘fronteras ferroviarias’ en el tráfico de viajeros”, ha agregado Pastor, quien ha subrayado que a partir de ahora se abrirá una nueva etapa, marcada por la modernidad de unos servicios de Alta Velocidad para los viajeros de ambos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Operados por Renfe y SNCF, cinco trenes diarios de alta velocidad permitirán conectar 17 grandes ciudades de España y Francia. Tendrán además conexiones con otros trenes de las redes de Renfe y SNCF, lo que multiplicará la oferta de orígenes y destinos en tren.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ministra ha recordado que para la puesta en marcha de estos servicios internacionales fue necesario culminar con éxito la infraestructura de alta velocidad ferroviaria entre Barcelona y la frontera francesa, que completa la conexión de alta velocidad Madrid-Barcelona-Figueras-Frontera francesa.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Pastor ha afirmado que Francia y España están dando pasos importantes en la interconexión y la integración de infraestructuras fundamentales para el desarrollo social y económico, impulsando de manera decidida el Corredor Mediterráneo y en otros proyectos de conexión que van a permitir una mejor movilidad de los ciudadanos de ambas naciones y de Europa.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https://www.notasdeprensa.es/pastor-los-servicios-de-alta-velocidad-entre_2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Logística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