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Pastor: las empresas del Grupo Fomento han pasado de 672 M€ de pérdidas en diciembre de 2011 a un beneficio de 141 M€ en agosto de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su intervención en el Pleno del Congreso para presentar los presupuestos de su departamento para 2014, Pastor ha señalado que esto se ha conseguido como consecuencia de una gestión rigurosa y eficiente, a los ajustes en los gastos corrientes, la racionalización de la deuda y la priorización de las inversiones.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ministra ha señalado que los presupuestos de su departamento para el próximo ejercicio están en consonancia con los objetivos prioritarios del Gobierno: reducir el déficit y lograr la recuperación económica, mejorando la competitividad y el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titular de Fomento ha indicado que van a permitir alcanzar los propósitos fijados por el Ministerio: garantizar la vertebración territorial y movilidad de los ciudadanos; mejorar la eficiencia en la planificación y la gestión de las infraestructuras; hacer más eficientes los operadores de transporte; favorecer la intermodalidad del sistema de transportes y dar un impulso a la Estrategia Logística; incentivar la colaboración público-privada; y contribuir al desarrollo económico y a la creación de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Pastor ha explicado que los recursos totales del Grupo Fomento para el año 2014 ascienden a 17.310 millones de euros y que, de ellos, más de la mitad del presupuesto (un 52%) está destinado a inversiones, 8.980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distribución de los recursos totales por sectores es la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Ferrocarriles, 8.538 M€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Aeropuertos y Seguridad Aérea, 2.755 M€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Carreteras, 2.257 M€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Puertos y Seguridad Marítima, 1.582 M€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Vivienda y Suelo, 871 M€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Ayudas al transporte 627,3 M€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Servicio Postal Universal, 519 M€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Ferrocarriles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ministra ha subrayado que el ferrocarril es una apuesta decidida del Ministerio, ya que supone el 51% de la inversión del Grupo Fomento, un total de 4.573 millones de euros, de los que 3.194 millones de euros se destinarán a Alta Velocidad, y 1.379 millones de euros a Red Convencional, Cercanías y material móvil principalmente.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Alta Velocidad se continuarán completando y poniendo en valor los grandes proyectos que ya tienen un grado de ejecución considerable, como el Corredor Noroeste (1.077 M€); el Corredor Mediterráneo (1.005 M€); el Corredor Norte (750 M€); el Corredor Sur (85 M€); y otras actuaciones como la LAV Madrid-Extremadura-Frontera Portuguesa, la LAV Castejón- Pamplona-Y Vasca, la conexión en ancho UIC Atocha-Chamartín, la cuadruplicación vía Torrejón de Velasco-Atocha y la LAV Zaragoza-Castejón-Logroño-Miranda de Ebro.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comparecencia, la titular de Fomento ha señalado también que, con la nueva política comercial de RENFE, puesta en marcha a principios de 2013, el AVE ha incrementado su demanda de viajeros un 22% respecto a 2012 hasta el mes de octubre y que los ingresos han crecido también por encima del 6% hasta dicha fecha. Pastor ha indicado que si continúa esta tendencia hasta final de año, 2013 será histórico en número de viajeros en AVE y Larga Distancia, con más de 25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Red Convencional, la inversión estará fundamentalmente dirigida a la modernización de la red, destacando la reposición de activos y el impulso al transporte de mercancías, a los accesos a puertos y las plataformas logísticas,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Cercanías, el objetivo es prestar un mejor servicio, con criterios de sostenibilidad y eficiencia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Pastor ha subrayado que en 2014 se destinarán 160 millones de euros a actuaciones específicas en mejora de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Carreteras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respecto a carreteras, la ministra ha indicado que se va a dedicar una inversión de 2.153 millones de euros, que se distribuyen en construcción de nueva infraestructura (1.148 M€); conservación (818 M€); y convenios con otras Administraciones (187 M€).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inversión en construcción se destina al cierre o la continuidad de los principales corredores de gran capacidad que prestan servicio al tráfico de largo recorrido entre comunidades autónomas y hacia los principales pasos fronterizos. En este sentido, destacan, entre otras actuaciones, la autovía A-8 en Galicia, Asturias y Cantabria; la autovía A-66 Ruta de la Plata entre Benavente y Zamora; la A-7 del Mediterráneo en Granada; la A-15 en Soria; la A-12 del Camino de Santiago y la circunvalación LO-20 en La Rioja; la A-23 en Huesca; la A-32 en Jaén; la A-33 en Valencia y Murcia; la duplicación de la N-II en Girona; el tramo de la A-62 entre Fuentes de Oñoro y Portugal; y la ampliación de capacidad de autovías, como los terceros carriles en la V-21 y A-3 en Valencia. Igualmente se desarrollarán actuaciones en circunvalaciones o accesos a puertos y aeropuertos.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conservación, el Ministerio de Fomento seguirá actuando sobre los más de 26.000 km de Red en servicio, para lo que se destinarán 818,2 millones de euros y se va a impulsar la licitación de obras de rehabilitación de firmes retomadas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esto, se destinarán 86 millones de euros para subvencionar las reducciones de peaje en autopistas.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Transportes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ámbito de transportes, la titular de Fomento ha recalcado el crecimiento de las diferentes subvenciones al transporte terrestre, aéreo y marítimo, consideradas un instrumento clave en la vertebración territorial y social de España, ya que garantizan la conectividad y movilidad de los ciudadanos.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sentido, se incrementan las partidas destinadas a la bonificación del 50% de los billetes de transporte aéreo y marítimo de los residentes en territorios no peninsulares, a lo que se destinarán 430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Destaca también una partida a la financiación de las Obligaciones de Servicio Público (OSP) para asegurar la continuidad de los servicios de interés social. En concreto, la dedicada a compensación por los servicios ferroviarios de Cercanías y media distancia, que asciende a 816,9 millones de euros; a las OSP establecidas en transporte aéreo, con 3,7 millones de euros; y a las líneas Marítimas de Interés Público, con 10,4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se incluyen subvenciones para el transporte marítimo y aéreo de mercancías desde los territorios insulares, con más de 20,5 millones de euros y se destinan más de 6 millones de euros para las Autopistas del Mar entre España y Francia (entre Gijón y Nantes, ya en funcionamiento; y Algeciras/Vigo y Nantes/ Le Havre).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han dotado tres líneas de subvenciones, con un importe de 15 millones de euros para contribuir a la mejora de la eficiencia en el sector del transporte por carretera.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Sector aéreo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titular de Fomento ha indicado que el sector aéreo es estratégico para garantizar la conectividad de España, la cohesión y vertebración de nuestro territorio y, además, está ligado a sectores claves de nuestra economía.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 subrayado que España ocupa el quinto puesto a nivel mundial y el tercero a nivel europeo, con más de 194 millones de pasajeros en el año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 que se refiere a AENA, primer operador aéreo a nivel mundial, la ministra ha señalado los cambios en su gestión para conseguir un saneamiento de su situación económico-financiera. Así, Aena ha pasado de 600 millones de euros de generación de caja negativa en 2011 a una positiva de 600 millones de euros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inversión, será de 550,3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Vivienda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Pastor ha defendido la nueva política de vivienda, orientada a las necesidades de los ciudadanos. Las leyes aprobadas por el Ministerio de Fomento están dirigidas a apoyar el alquiler como vía idónea para el acceso a la vivienda y a fomentar la rehabilitación de edificios y la regeneración y renovación urbanas.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apoyar este cambio de modelo, el presupuesto del 2014 incluye una partida de 788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https://www.notasdeprensa.es/pastor-las-empresas-del-grupo-fomento-han_1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