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Pastor destaca que en el primer semestre de 2016 las licitaciones internacionales superan los 21.000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Fomento en funciones, Ana Pastor, ha destacado hoy que en el primer semestre de este año las licitaciones internacionales superan los 21.000 millones de euros, de los cuales 7.500 corresponden a concesiones y 14.400 a obra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su intervención en el II Foro Global de Ingeniería y Obra Pública, celebrado en la Universidad Internacional Menéndez Pelayo de Santander, la titular de Fomento ha valorado la proyección internacional de las empresas españolas.</w:t>
            </w:r>
          </w:p>
          <w:p>
            <w:pPr>
              <w:ind w:left="-284" w:right="-427"/>
              <w:jc w:val="both"/>
              <w:rPr>
                <w:rFonts/>
                <w:color w:val="262626" w:themeColor="text1" w:themeTint="D9"/>
              </w:rPr>
            </w:pPr>
            <w:r>
              <w:t>En este sentido, ha recordado que 9 empresas de nuestro país gestionan el 37% de las principales concesiones de transportes del mundo. Y que 4 de las 10 principales empresas del mundo en gestión de infraestructuras de transporte por número de concesiones de carreteras, ferrocarriles, aeropuertos o puertos, son españolas.</w:t>
            </w:r>
          </w:p>
          <w:p>
            <w:pPr>
              <w:ind w:left="-284" w:right="-427"/>
              <w:jc w:val="both"/>
              <w:rPr>
                <w:rFonts/>
                <w:color w:val="262626" w:themeColor="text1" w:themeTint="D9"/>
              </w:rPr>
            </w:pPr>
            <w:r>
              <w:t>Claves del reconocimiento internacionalPastor también ha subrayado que España es el primer país de la Unión Europea y el cuarto del mundo con mejor infraestructura ferroviaria, según el último ranking del Foro Económico Mundial. En aeropuertos, nuestro país figura en tercera posición. En puertos somos el cuarto y en carreteras estamos en la quinta posición del escalafón.</w:t>
            </w:r>
          </w:p>
          <w:p>
            <w:pPr>
              <w:ind w:left="-284" w:right="-427"/>
              <w:jc w:val="both"/>
              <w:rPr>
                <w:rFonts/>
                <w:color w:val="262626" w:themeColor="text1" w:themeTint="D9"/>
              </w:rPr>
            </w:pPr>
            <w:r>
              <w:t>Junto a ello, la ministra ha valorado que Davos haya designado a España como el país con el sector turístico más competitivo del mundo gracias a sus infraestructuras.</w:t>
            </w:r>
          </w:p>
          <w:p>
            <w:pPr>
              <w:ind w:left="-284" w:right="-427"/>
              <w:jc w:val="both"/>
              <w:rPr>
                <w:rFonts/>
                <w:color w:val="262626" w:themeColor="text1" w:themeTint="D9"/>
              </w:rPr>
            </w:pPr>
            <w:r>
              <w:t>Por último, la titular de Fomento ha enumerado algunos de los proyectos internacionales en los que están presentes las empresas españolas, como el Canal de Panamá, el AVE La Meca-Medina, el Proyecto Marmaray o los metros de Riad, Lima, Panamá y Dubai.</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https://www.notasdeprensa.es/pastor-destaca-que-en-el-primer-semestre-de_1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