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el Gobierno ha destinado en tres años 1.700 millones a la Y vasca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en el Congreso que el Gobierno ha destinado en los últimos tres años 1.700 millones de euros a la realización de la Y vasca, lo que supone tres veces la media anual invertida entre 2005-2011.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Pastor ha señalado que, a pesar de que en esta legislatura la coyuntura económica ha sido complicada, el Ministerio de Fomento ha hecho un importante esfuerzo, y ha recordado que, tal como se había comprometido en el Senado en mayo de este año, ya se han encargado los proyectos de montaje de vía y de las instalaciones de seguridad y comunicaciones, de la Y vasca, y están en fase de redacción el proyecto constructivo de la catenaria, el del telemando de energía, y los de subestaciones y centros de autotransformación.		Además, ha indicado que se han licitado las obras de la plataforma del tramo Mondragón-Bergara, por más de 130 millones de euros, lo que permitirá enlazar los ramales Vitoria-Mondragón y Mondragón-San Sebastián.		Por otro lado, Pastor ha recordado que, ayer mismo, se ha celebrado la segunda reunión de la Comisión de Seguimiento del Protocolo de Colaboración entre el Ministerio de Fomento, la Comunidad Autónoma del País Vasco y la Comunidad Foral de Navarra, para la codirección del estudio informativo del tramo de alta velocidad Pamplona -Y Vasca; y también se ha reunido la Comisión Interinstitucional para el acceso a la ciudad de Vitoria, que ha incorporado a los representantes del Grupo de Trabajo Técnico creado en la Sociedad y otros responsables institucionales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https://www.notasdeprensa.es/pastor-destaca-que-el-gobierno-ha-destinado-en_2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