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confirma que el Grupo Fomento abandonó los números rojos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destacado hoy el trabajo realizado en el Grupo Fomento durante los dos últimos años, que ha permitido pasar de unas pérdidas de 694 M€ en 2011 a un beneficio neto de 300 al cierre del ejercicio 2013.</w:t>
            </w:r>
          </w:p>
          <w:p>
            <w:pPr>
              <w:ind w:left="-284" w:right="-427"/>
              <w:jc w:val="both"/>
              <w:rPr>
                <w:rFonts/>
                <w:color w:val="262626" w:themeColor="text1" w:themeTint="D9"/>
              </w:rPr>
            </w:pPr>
            <w:r>
              <w:t>	En su intervención en un coloquio organizado por el diario La Razón, Pastor ha recordado que en diciembre de 2011 el endeudamiento del Grupo Fomento era de 40.000 millones de euros, lo que, junto con la deuda administrativa aflorada, equivale a unos 4.000 euros por familia.</w:t>
            </w:r>
          </w:p>
          <w:p>
            <w:pPr>
              <w:ind w:left="-284" w:right="-427"/>
              <w:jc w:val="both"/>
              <w:rPr>
                <w:rFonts/>
                <w:color w:val="262626" w:themeColor="text1" w:themeTint="D9"/>
              </w:rPr>
            </w:pPr>
            <w:r>
              <w:t>	Los datos presentados hoy por Pastor son “reveladores”, ha dicho, del trabajo que se ha hecho, con un resultado bruto de explotación (Ebitda) en el conjunto de AENA, Renfe, ADIF y Puertos del Estado de 2.700M€, un 27% más que en 2012, una disminución del 16% durante 2013 del ratio entre la deuda y el Ebitda y un ahorro, sólo en gastos superfluos, de 700M€ en los dos últimos años.</w:t>
            </w:r>
          </w:p>
          <w:p>
            <w:pPr>
              <w:ind w:left="-284" w:right="-427"/>
              <w:jc w:val="both"/>
              <w:rPr>
                <w:rFonts/>
                <w:color w:val="262626" w:themeColor="text1" w:themeTint="D9"/>
              </w:rPr>
            </w:pPr>
            <w:r>
              <w:t>	Concesiones de autobuses</w:t>
            </w:r>
          </w:p>
          <w:p>
            <w:pPr>
              <w:ind w:left="-284" w:right="-427"/>
              <w:jc w:val="both"/>
              <w:rPr>
                <w:rFonts/>
                <w:color w:val="262626" w:themeColor="text1" w:themeTint="D9"/>
              </w:rPr>
            </w:pPr>
            <w:r>
              <w:t>	Pastor ha anunciado asimismo que el Ministerio va a licitar de forma inminente la renovación de las concesiones de autobuses competencia del Ministerio. Dentro de este proceso, esta misma semana saldrán los primeros cuatro concursos.</w:t>
            </w:r>
          </w:p>
          <w:p>
            <w:pPr>
              <w:ind w:left="-284" w:right="-427"/>
              <w:jc w:val="both"/>
              <w:rPr>
                <w:rFonts/>
                <w:color w:val="262626" w:themeColor="text1" w:themeTint="D9"/>
              </w:rPr>
            </w:pPr>
            <w:r>
              <w:t>	Ha explicado que en los pliegos del concurso se potencia la seguridad en la prestación del servicio, se incorporan criterios de solvencia profesional y económica, y se establece por primera vez un canon que abonará el adjudicatario en función de sus beneficios.</w:t>
            </w:r>
          </w:p>
          <w:p>
            <w:pPr>
              <w:ind w:left="-284" w:right="-427"/>
              <w:jc w:val="both"/>
              <w:rPr>
                <w:rFonts/>
                <w:color w:val="262626" w:themeColor="text1" w:themeTint="D9"/>
              </w:rPr>
            </w:pPr>
            <w:r>
              <w:t>	Política comercial de Renfe</w:t>
            </w:r>
          </w:p>
          <w:p>
            <w:pPr>
              <w:ind w:left="-284" w:right="-427"/>
              <w:jc w:val="both"/>
              <w:rPr>
                <w:rFonts/>
                <w:color w:val="262626" w:themeColor="text1" w:themeTint="D9"/>
              </w:rPr>
            </w:pPr>
            <w:r>
              <w:t>	La ministra se ha referido también a la nueva estrategia comercial y tarifaria de Renfe, con la reducción del 11% el precio de todos los billetes y la aplicación de descuentos de hasta el 70%. Desde la puesta en marcha de la nueva política comercial ha crecido el número de pasajeros, los ingresos y la ocupación. Así, en febrero, el número de viajeros del AVE ha aumentado un 18% y los de Larga Distancia un 8%.</w:t>
            </w:r>
          </w:p>
          <w:p>
            <w:pPr>
              <w:ind w:left="-284" w:right="-427"/>
              <w:jc w:val="both"/>
              <w:rPr>
                <w:rFonts/>
                <w:color w:val="262626" w:themeColor="text1" w:themeTint="D9"/>
              </w:rPr>
            </w:pPr>
            <w:r>
              <w:t>	Socio industrial en Renfe-mercancías</w:t>
            </w:r>
          </w:p>
          <w:p>
            <w:pPr>
              <w:ind w:left="-284" w:right="-427"/>
              <w:jc w:val="both"/>
              <w:rPr>
                <w:rFonts/>
                <w:color w:val="262626" w:themeColor="text1" w:themeTint="D9"/>
              </w:rPr>
            </w:pPr>
            <w:r>
              <w:t>	La ministra ha señalado que, tras la reestructuración de Renfe en cuatro sociedades mercantiles (Renfe-viajeros, Renfe-mercancías y logística, Renfe-fabricación y mantenimiento y Renfe-gestión de activos y material rodante), y la integración de FEVE en Renfe y en ADIF, se va a iniciar el proceso de concurso público para la entrada de un socio industrial en Renfe Mercancías.</w:t>
            </w:r>
          </w:p>
          <w:p>
            <w:pPr>
              <w:ind w:left="-284" w:right="-427"/>
              <w:jc w:val="both"/>
              <w:rPr>
                <w:rFonts/>
                <w:color w:val="262626" w:themeColor="text1" w:themeTint="D9"/>
              </w:rPr>
            </w:pPr>
            <w:r>
              <w:t>	Además, el próximo mes de abril se constituirá una Sociedad de Alquiler de Material Rodante (Rosco) para contribuir a la apertura del mercado.</w:t>
            </w:r>
          </w:p>
          <w:p>
            <w:pPr>
              <w:ind w:left="-284" w:right="-427"/>
              <w:jc w:val="both"/>
              <w:rPr>
                <w:rFonts/>
                <w:color w:val="262626" w:themeColor="text1" w:themeTint="D9"/>
              </w:rPr>
            </w:pPr>
            <w:r>
              <w:t>	Sector aéreo</w:t>
            </w:r>
          </w:p>
          <w:p>
            <w:pPr>
              <w:ind w:left="-284" w:right="-427"/>
              <w:jc w:val="both"/>
              <w:rPr>
                <w:rFonts/>
                <w:color w:val="262626" w:themeColor="text1" w:themeTint="D9"/>
              </w:rPr>
            </w:pPr>
            <w:r>
              <w:t>	En el sector aéreo, Pastor ha subrayado el cambio de tendencia en el tráfico aéreo en los aeropuertos de Aena desde noviembre de 2013, que se traduce en un crecimiento del 3,1% en el tráfico de pasajeros en el mes de febrero de 2014. Ha recordado que AENA movió en 2013 casi 200 millones de pasajeros en total. De ellos 130 millones eran pasajeros internacionales.</w:t>
            </w:r>
          </w:p>
          <w:p>
            <w:pPr>
              <w:ind w:left="-284" w:right="-427"/>
              <w:jc w:val="both"/>
              <w:rPr>
                <w:rFonts/>
                <w:color w:val="262626" w:themeColor="text1" w:themeTint="D9"/>
              </w:rPr>
            </w:pPr>
            <w:r>
              <w:t>	La ministra ha destacado además el avance del Aeropuerto de Madrid-Barajas, que ha registrado en febrero de 2014 un crecimiento del 1,6% después de 36 meses de caída.</w:t>
            </w:r>
          </w:p>
          <w:p>
            <w:pPr>
              <w:ind w:left="-284" w:right="-427"/>
              <w:jc w:val="both"/>
              <w:rPr>
                <w:rFonts/>
                <w:color w:val="262626" w:themeColor="text1" w:themeTint="D9"/>
              </w:rPr>
            </w:pPr>
            <w:r>
              <w:t>	Por último, ha avanzado que en los primeros 17 días de marzo la tendencia se mantiene, con un crecimiento del 1%. 		En cuanto a Aena, Pastor ha resaltado el proceso de transformación que ha experimentado la compañía y que ha permitido pasar de una generación de caja de -600 millones de euros en 2011 a 600 millones positivos en 2013.</w:t>
            </w:r>
          </w:p>
          <w:p>
            <w:pPr>
              <w:ind w:left="-284" w:right="-427"/>
              <w:jc w:val="both"/>
              <w:rPr>
                <w:rFonts/>
                <w:color w:val="262626" w:themeColor="text1" w:themeTint="D9"/>
              </w:rPr>
            </w:pPr>
            <w:r>
              <w:t>	Ha indicado además que en 2013 se abrieron 300 rutas y se estima que se abrirán otras 392 nuevas rutas en la próxima temporada de verano.</w:t>
            </w:r>
          </w:p>
          <w:p>
            <w:pPr>
              <w:ind w:left="-284" w:right="-427"/>
              <w:jc w:val="both"/>
              <w:rPr>
                <w:rFonts/>
                <w:color w:val="262626" w:themeColor="text1" w:themeTint="D9"/>
              </w:rPr>
            </w:pPr>
            <w:r>
              <w:t>	Puertos del Estado</w:t>
            </w:r>
          </w:p>
          <w:p>
            <w:pPr>
              <w:ind w:left="-284" w:right="-427"/>
              <w:jc w:val="both"/>
              <w:rPr>
                <w:rFonts/>
                <w:color w:val="262626" w:themeColor="text1" w:themeTint="D9"/>
              </w:rPr>
            </w:pPr>
            <w:r>
              <w:t>	La actividad portuaria aporta a España un valor añadido bruto anual de más de 9.000M€, ha recordado la ministra, quien ha señalado que con los datos acumulados a febrero el tráfico de mercancías a través de puertos crece un 3,8% respecto al mismo período del año pasado.</w:t>
            </w:r>
          </w:p>
          <w:p>
            <w:pPr>
              <w:ind w:left="-284" w:right="-427"/>
              <w:jc w:val="both"/>
              <w:rPr>
                <w:rFonts/>
                <w:color w:val="262626" w:themeColor="text1" w:themeTint="D9"/>
              </w:rPr>
            </w:pPr>
            <w:r>
              <w:t>	En lo que va de año, destaca asimismo el aumento de mercancías con entrada y salida por ferrocarril a las zonas de servicio de los puertos, que ha supuesto un incremento del 17% respecto al mismo período de 2013.</w:t>
            </w:r>
          </w:p>
          <w:p>
            <w:pPr>
              <w:ind w:left="-284" w:right="-427"/>
              <w:jc w:val="both"/>
              <w:rPr>
                <w:rFonts/>
                <w:color w:val="262626" w:themeColor="text1" w:themeTint="D9"/>
              </w:rPr>
            </w:pPr>
            <w:r>
              <w:t>	Para ganar eficiencia y competitividad acaba de entrar en vigor la reducción de las tasas portuarias (5% la de utilización y 8%, la de ocupación).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https://www.notasdeprensa.es/pastor-confirma-que-el-grupo-fomento-abandono_1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