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20/11/2013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Pastor anuncia la implantación del tercer carril entre Vilaseca y Reus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ministra de Fomento, Ana Pastor, ha anunciado hoy la implantación del tercer carril entre Vilaseca y Reus, en Tarragona, y ha indicado que se trabaja ya en la redacción del proyecto de esta actuación.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respuesta a una pregunta en el Pleno del Congreso, Pastor ha detallado, además de la anterior, otras dos actuaciones que se desarrollan actualmente en Tarragona. Así, se ha referido a la redacción del estudio informativo para permitir la conexión entre la línea convencional Vilaseca-Tarragona-Barcelona, en la que se va a implantar el tercer carril, y la línea de alta velocidad Madrid-Barcelona en el entorno de L’Arboc. A ello se suma, en tercer lugar, la construcción de un cambiador de ancho en el entorno de Tarragona.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su intervención, la ministra ha destacado que el presupuesto para 2014 del Grupo Fomento destinado a la provincia de Tarragona asciende a más de 400 millones de euros, de los cuales más de 200 millones de euros serán para ferrocarriles.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permitirá llevar a cabo obras para la adaptación al ancho UIC del tramo Castellbisbal- Vilaseca (más de 100 millones de euros); las obras de alta velocidad entre Vandellós y Tarragona (108 millones de euros); estudios y proyectos en el Corredor Mediterráneo (1,14 millones de euros); mantenimiento y administración de la red (19,48 millones de euros); y mejoras de la red (3,71 millones de euros).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https://www.notasdeprensa.es/pastor-anuncia-la-implantacion-del-tercer_1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