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el 1º trimestre de 2023 se prevé un debilitamiento en la creación de empleo y el paro se mantendrá por encima de los 3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Institute, el centro de estudios y divulgación de The Adecco Group, analiza los datos de la Encuesta de Población Activa correspondientes al cuarto trimestre de 2022 conocidos hoy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conocerse los datos de la última Encuesta de Población Activa, correspondientes al cuarto trimestre de 2022, que realiza el Instituto Nacional de Estadística. En el cuarto trimestre del año se contaban 20,46 millones de ocupados (+1,4%), son ligeramente menos que los que había en el segundo trimestre (20,47 millones). Estos datos (que el empleo del cuarto trimestre fuera menor que en el segundo), no ocurrían desde 2013, en el peor momento de la crisis anterior.</w:t>
            </w:r>
          </w:p>
          <w:p>
            <w:pPr>
              <w:ind w:left="-284" w:right="-427"/>
              <w:jc w:val="both"/>
              <w:rPr>
                <w:rFonts/>
                <w:color w:val="262626" w:themeColor="text1" w:themeTint="D9"/>
              </w:rPr>
            </w:pPr>
            <w:r>
              <w:t>Para Javier Blasco, director de The Adecco Group Institute: "en el cuarto trimestre, el número de ocupados creció un 1,4% interanual. Quitando los datos del peor período de la pandemia (1T de 2020 al 1T de 2021), es el menor crecimiento desde junio de 2014. Esto ratifica nuestro escenario: la etapa de fuerte recuperación terminó y ahora viene una etapa de  and #39;mini-crecimiento and #39;".</w:t>
            </w:r>
          </w:p>
          <w:p>
            <w:pPr>
              <w:ind w:left="-284" w:right="-427"/>
              <w:jc w:val="both"/>
              <w:rPr>
                <w:rFonts/>
                <w:color w:val="262626" w:themeColor="text1" w:themeTint="D9"/>
              </w:rPr>
            </w:pPr>
            <w:r>
              <w:t>"El escenario central para el primer trimestre de 2023 es el de un debilitamiento adicional en la creación de empleo. La ocupación crecería un 1,3% interanual (259.500 ocupados más que un año antes), cosa que permitiría alcanzar a 20,34 millones de ocupados", avanza Blasco.</w:t>
            </w:r>
          </w:p>
          <w:p>
            <w:pPr>
              <w:ind w:left="-284" w:right="-427"/>
              <w:jc w:val="both"/>
              <w:rPr>
                <w:rFonts/>
                <w:color w:val="262626" w:themeColor="text1" w:themeTint="D9"/>
              </w:rPr>
            </w:pPr>
            <w:r>
              <w:t>Por ello, para el director de The Adecco Group Institute, de cumplirse las previsiones para la próxima EPA: "La cantidad de parados se mantendría por encima de los 3 millones, con una caída interanual de 133.800 personas (-4,2%). La tasa de paro se situaría en un 13%, 0,6 puntos porcentuales por debajo que en el mismo trimestre de 2022".</w:t>
            </w:r>
          </w:p>
          <w:p>
            <w:pPr>
              <w:ind w:left="-284" w:right="-427"/>
              <w:jc w:val="both"/>
              <w:rPr>
                <w:rFonts/>
                <w:color w:val="262626" w:themeColor="text1" w:themeTint="D9"/>
              </w:rPr>
            </w:pPr>
            <w:r>
              <w:t>Datos más destacadosComo acaba de hacer públicos el Instituto Nacional de Estadística, ahora están desocupadas 3,02 millones de personas. La reducción interanual del número de parados se ralentizó de forma significativa. De caer un 12,8% interanual en el tercer trimestre, ahora lo hizo solo 2,6%; hay 79.800 parados menos que un año antes. Bajó el paro en ambos sexos y entre los mayores de 25 años. En cambio, entre las personas de menos de 25 años de edad, el paro subió un 2,5%.</w:t>
            </w:r>
          </w:p>
          <w:p>
            <w:pPr>
              <w:ind w:left="-284" w:right="-427"/>
              <w:jc w:val="both"/>
              <w:rPr>
                <w:rFonts/>
                <w:color w:val="262626" w:themeColor="text1" w:themeTint="D9"/>
              </w:rPr>
            </w:pPr>
            <w:r>
              <w:t>A nivel autonómico, el desempleo bajó en 10 de las 17 comunidades autónomas. Canarias (-22,9%) y Baleares (-25,6%) mostraron los mayores descensos; Asturias (+45,4%) y la Comunidad de Madrid (+16,1%), los incrementos de mayor magnitud.</w:t>
            </w:r>
          </w:p>
          <w:p>
            <w:pPr>
              <w:ind w:left="-284" w:right="-427"/>
              <w:jc w:val="both"/>
              <w:rPr>
                <w:rFonts/>
                <w:color w:val="262626" w:themeColor="text1" w:themeTint="D9"/>
              </w:rPr>
            </w:pPr>
            <w:r>
              <w:t>La tasa de paro fue de un 12,9%, 0,5 puntos porcentuales menos que hace un año, siendo mayor la subida en varones y colectivo senior. La tasa de paro juvenil fue la que más bajó, pero sigue siendo muy alta: 29,3% (-1,4 p.p.).</w:t>
            </w:r>
          </w:p>
          <w:p>
            <w:pPr>
              <w:ind w:left="-284" w:right="-427"/>
              <w:jc w:val="both"/>
              <w:rPr>
                <w:rFonts/>
                <w:color w:val="262626" w:themeColor="text1" w:themeTint="D9"/>
              </w:rPr>
            </w:pPr>
            <w:r>
              <w:t>Canarias (-4,4 p.p.) y Baleares (-4 p.p.) mostraron los mayores descensos en la tasa de paro. Andalucía tiene la mayor tasa de paro (19%) y La Rioja la menor (8,6%).</w:t>
            </w:r>
          </w:p>
          <w:p>
            <w:pPr>
              <w:ind w:left="-284" w:right="-427"/>
              <w:jc w:val="both"/>
              <w:rPr>
                <w:rFonts/>
                <w:color w:val="262626" w:themeColor="text1" w:themeTint="D9"/>
              </w:rPr>
            </w:pPr>
            <w:r>
              <w:t>En el cuarto trimestre de 2022 hubo 20,46 millones de ocupados (+1,4%). En términos interanuales, creció el empleo para ambos sexos, para todos los grupos de edad, pero el empleo de españoles, aunque de forma mínima, cayó (-0,03% interanual). Todo el nuevo empleo favoreció a inmigrantes.</w:t>
            </w:r>
          </w:p>
          <w:p>
            <w:pPr>
              <w:ind w:left="-284" w:right="-427"/>
              <w:jc w:val="both"/>
              <w:rPr>
                <w:rFonts/>
                <w:color w:val="262626" w:themeColor="text1" w:themeTint="D9"/>
              </w:rPr>
            </w:pPr>
            <w:r>
              <w:t>Se incrementó el número de ocupados en la Industria, los Servicios y la Construcción, pero no en Agricultura y Ganadería. Desagregando la información se encuentra que, de las 16 ramas de actividad existentes, el empleo subió en 11. Las excepciones fueron Actividades profesionales (-1,4%), Finanzas y seguros (-2,3%; cuarta caída seguida), Agricultura y Ganadería (-10,3%; tercer retroceso consecutivo), Educación (-0,1%) y Actividades administrativas (-4,9%; segundo descenso seguido). Los aumentos más marcados corresponden a Administración pública (+7,6%) y Transporte (+6,5%).</w:t>
            </w:r>
          </w:p>
          <w:p>
            <w:pPr>
              <w:ind w:left="-284" w:right="-427"/>
              <w:jc w:val="both"/>
              <w:rPr>
                <w:rFonts/>
                <w:color w:val="262626" w:themeColor="text1" w:themeTint="D9"/>
              </w:rPr>
            </w:pPr>
            <w:r>
              <w:t>Siempre en términos interanuales, creció el número de asalariados (+2,3%), pero cayó el de no asalariados (-3,7%). Dentro de los asalariados, se deja sentir el impacto de la reciente reforma laboral y el consecuente auge de los contratos fijos-discontinuos: mientras los temporales bajaron un 27,7%, los indefinidos aumentaron un 12,6%. Dentro de estos últimos, los fijos-discontinuos crecieron un 59,1%, mientras que el resto de contratados de modo indefinido lo hizo un 11,1%.</w:t>
            </w:r>
          </w:p>
          <w:p>
            <w:pPr>
              <w:ind w:left="-284" w:right="-427"/>
              <w:jc w:val="both"/>
              <w:rPr>
                <w:rFonts/>
                <w:color w:val="262626" w:themeColor="text1" w:themeTint="D9"/>
              </w:rPr>
            </w:pPr>
            <w:r>
              <w:t>Tres autonomías mostraron una caída del empleo. Por segundo trimestre consecutivo, el peor resultado fue el de Asturias (-3,8%). Los mejores fueron los de Canarias (+5,6%) y Baleares (+6,3%), reflejando la gran recuperación del turismo exterior.</w:t>
            </w:r>
          </w:p>
          <w:p>
            <w:pPr>
              <w:ind w:left="-284" w:right="-427"/>
              <w:jc w:val="both"/>
              <w:rPr>
                <w:rFonts/>
                <w:color w:val="262626" w:themeColor="text1" w:themeTint="D9"/>
              </w:rPr>
            </w:pPr>
            <w:r>
              <w:t>Para más información, aquí está la webinar con la presentación de estos datos: https://www.youtube.com/watch?v=6uAHjSdqJSM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https://www.notasdeprensa.es/para-el-1-trimestre-de-2023-se-preve-un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