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osapiens levanta una ronda de 120M$ liderada por Growth Equity de Goldman Sachs Alternatives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proveedor de la plataforma SaaS ESG utilizará los fondos para acelerar la innovación en productos e impulsar el crecimiento en los mercados actuales y nuevos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osapiens, la plataforma líder ESG y proveedor de soluciones de reporte de sostenibilidad y cumplimiento regulatorio, ha anunciado hoy el cierre de una ronda de financiación de Serie B por valor de 120 millones de dólares, liderada por Growth Equity de Goldman Sachs Alternatives. Los fondos se utilizarán para acelerar la expansión internacional y seguir invirtiendo en la plataforma tecnológica, contribuyendo a que las operaciones empresariales sean más sólidas, eficientes y conformes a la normativa.  Goldman Sachs Alternatives adquiere así una participación minoritaria en osapiens y se une a la firma inversora Armira Growth, que lideró la Serie A de 27 millones de dólares en 2023.</w:t>
            </w:r>
          </w:p>
          <w:p>
            <w:pPr>
              <w:ind w:left="-284" w:right="-427"/>
              <w:jc w:val="both"/>
              <w:rPr>
                <w:rFonts/>
                <w:color w:val="262626" w:themeColor="text1" w:themeTint="D9"/>
              </w:rPr>
            </w:pPr>
            <w:r>
              <w:t>Osapiens se ha posicionado rápidamente como el líder global en el sector de tecnología para ESG. Su oferta principal, osapiens HUB, es una plataforma en la nube basada en IA que simplifica el cumplimiento con las regulaciones ESG internacionales, que incluyen normativas como la Directiva de Informes de Sostenibilidad Corporativa (CSRD), el Reglamento europeo contra la deforestación (EUDR) y la Directiva sobre diligencia debida de las empresas en materia de sostenibilidad (CSDDD). </w:t>
            </w:r>
          </w:p>
          <w:p>
            <w:pPr>
              <w:ind w:left="-284" w:right="-427"/>
              <w:jc w:val="both"/>
              <w:rPr>
                <w:rFonts/>
                <w:color w:val="262626" w:themeColor="text1" w:themeTint="D9"/>
              </w:rPr>
            </w:pPr>
            <w:r>
              <w:t>La capacidad de aprovechar un modelo de datos común e integrar varios módulos de cumplimiento regulatorio, mitigación de riesgos y eficiencia operativa en una sola plataforma es única en el sentido de que permite un impacto real y diferencia claramente a osapiens de sus competidores. Al mejorar la transparencia y la eficiencia, osapiens proporciona información destacada y accionable que fortalece a las empresas, promoviendo la sostenibilidad a largo plazo y teniendo un impacto positivo.</w:t>
            </w:r>
          </w:p>
          <w:p>
            <w:pPr>
              <w:ind w:left="-284" w:right="-427"/>
              <w:jc w:val="both"/>
              <w:rPr>
                <w:rFonts/>
                <w:color w:val="262626" w:themeColor="text1" w:themeTint="D9"/>
              </w:rPr>
            </w:pPr>
            <w:r>
              <w:t>"Estamos encantados de asociarnos con Goldman Sachs" comenta Alberto Zamora, Cofundador y CEO de osapiens. "Su apoyo es una prueba de nuestra posición de liderazgo en este mercado altamente competitivo y en rápida evolución, en el cumplimiento ESG y la eficiencia de los procesos. Estamos orgullosos de ofrecer una única plataforma que ayuda a las empresas de todo el mundo a navegar las complejidades de la regulación ESG con facilidad y confianza y a lograr la sostenibilidad a largo plazo. osapiens les permite tener un impacto positivo no sólo en su cuenta de resultados, sino también en el planeta".</w:t>
            </w:r>
          </w:p>
          <w:p>
            <w:pPr>
              <w:ind w:left="-284" w:right="-427"/>
              <w:jc w:val="both"/>
              <w:rPr>
                <w:rFonts/>
                <w:color w:val="262626" w:themeColor="text1" w:themeTint="D9"/>
              </w:rPr>
            </w:pPr>
            <w:r>
              <w:t>Alexander Lippert, Managing Director de Growth Equity en Goldman Sachs Alternatives, comenta: "osapiens crea un valor extraordinario a sus clientes, ayudándoles a cumplir con un número cada vez mayor de requerimientos regulatorios y, al mismo tiempo, generando un valor comercial tangible. Vemos un potencial enorme en osapiens y nos complace ayudarles a seguir adelante con su misión".</w:t>
            </w:r>
          </w:p>
          <w:p>
            <w:pPr>
              <w:ind w:left="-284" w:right="-427"/>
              <w:jc w:val="both"/>
              <w:rPr>
                <w:rFonts/>
                <w:color w:val="262626" w:themeColor="text1" w:themeTint="D9"/>
              </w:rPr>
            </w:pPr>
            <w:r>
              <w:t>Osapiens fue fundada en Mannheim, Alemania en 2018 por Alberto Zamora, Stefan Wawrzinek y Matthias Jungblut. Su equipo internacional de más de 300 profesionales especialistas ayudan a más 1.300 clientes en todo el mundo, como Acciona, Logista, Agora Group, Bosch, Coca Cola North América, Metro, Costco, Ritter Sport, Lidl, Celanese, C and A y DM. Con la captación de fondos culmina un año de rápido crecimiento para osapiens, con un aumento del número total de clientes superior al 473% en 2023.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Axicom</w:t>
      </w:r>
    </w:p>
    <w:p w:rsidR="00AB63FE" w:rsidRDefault="00C31F72" w:rsidP="00AB63FE">
      <w:pPr>
        <w:pStyle w:val="Sinespaciado"/>
        <w:spacing w:line="276" w:lineRule="auto"/>
        <w:ind w:left="-284"/>
        <w:rPr>
          <w:rFonts w:ascii="Arial" w:hAnsi="Arial" w:cs="Arial"/>
        </w:rPr>
      </w:pPr>
      <w:r>
        <w:rPr>
          <w:rFonts w:ascii="Arial" w:hAnsi="Arial" w:cs="Arial"/>
        </w:rPr>
        <w:t>91  661 17 37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https://www.notasdeprensa.es/osapiens-levanta-una-ronda-de-120m-liderada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Sostenibilidad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