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refuerza su apuesta por su gama de Vehículos Comerciales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gama de Vehículos Comerciales Opel está desarrollada pensando en la transformación, incorporando entre sus opciones elementos que la facilitan: tomas de fuerza en caja de cambios y motor, acelerador de ralentí, alargamiento cableado, cargas aumentadas, suspensión reforzada,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Alcanza un acuerdo con Rehatrans para que ambas compañías incrementen su negocio común.</w:t>
            </w:r>
          </w:p>
          <w:p>
            <w:pPr>
              <w:ind w:left="-284" w:right="-427"/>
              <w:jc w:val="both"/>
              <w:rPr>
                <w:rFonts/>
                <w:color w:val="262626" w:themeColor="text1" w:themeTint="D9"/>
              </w:rPr>
            </w:pPr>
            <w:r>
              <w:t>		Los Vehículos Comerciales Opel está preparados para todo tipo de transformación.</w:t>
            </w:r>
          </w:p>
          <w:p>
            <w:pPr>
              <w:ind w:left="-284" w:right="-427"/>
              <w:jc w:val="both"/>
              <w:rPr>
                <w:rFonts/>
                <w:color w:val="262626" w:themeColor="text1" w:themeTint="D9"/>
              </w:rPr>
            </w:pPr>
            <w:r>
              <w:t>	Madrid. Dentro de la estrategia de crecimiento para Vehículos Comerciales de Opel, la marca ha firmado un acuerdo de colaboración con Rehatrans, la empresa líder en España en la adaptación de vehículos para personas con movilidad reducida.</w:t>
            </w:r>
          </w:p>
          <w:p>
            <w:pPr>
              <w:ind w:left="-284" w:right="-427"/>
              <w:jc w:val="both"/>
              <w:rPr>
                <w:rFonts/>
                <w:color w:val="262626" w:themeColor="text1" w:themeTint="D9"/>
              </w:rPr>
            </w:pPr>
            <w:r>
              <w:t>	Desde el Departamento de Vehículos Comerciales de Opel se ofrecen transformaciones de fábrica, pero también se ha creado una red de colaboración con un gran número de empresas nacionales transformadoras para ofrecer soluciones finales seguras, de calidad y homologadas que permiten llegar al cliente profesional.</w:t>
            </w:r>
          </w:p>
          <w:p>
            <w:pPr>
              <w:ind w:left="-284" w:right="-427"/>
              <w:jc w:val="both"/>
              <w:rPr>
                <w:rFonts/>
                <w:color w:val="262626" w:themeColor="text1" w:themeTint="D9"/>
              </w:rPr>
            </w:pPr>
            <w:r>
              <w:t>	Este acuerdo viene a fortalecer la estrategia de Opel con su gama de Vehículos Comerciales, y servirá para que tanto Opel como Rehatrans incrementen su negocio común. La entrega del certificado que acredita dicho acuerdo, tuvo lugar en las oficinas de Opel, el pasado día 11 de junio, con la presencia de representantes de ambas compañías.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https://www.notasdeprensa.es/opel-refuerza-su-apuesta-por-su-gama-de_1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