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Opel alcanza la segunda posición de ventas en España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Incremento de ventas de un 22,6% en los once primeros meses.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Segunda marca en turismos, con 5.254 unidades y una cuota del 8,0% en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Segunda marca más vendida en con 62.056 unidades y una cuota de 7,92%.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Insignia lidera su segmento y el Corsa mantiene el número dos en su categoría.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Meriva consolida la tercera posición de su segmento con un 13,9% de cuota.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Madrid. Con una gama de productos renovada y muy atractiva, Opel se encuentra en un excelente momento en cuanto a producto se refiere que tiene un claro reflejo en sus ventas en España. Los nuevos lanzamientos, unidos a los modelos más consolidados y apreciados por los consumidores, han llevado a la marca al segundo lugar de ventas con 5.254 turismos en noviembre, con una cuota del 8,0%. Asimismo, la marca alemana se ha alzado hasta la segunda posición en el ranking de turismos en 2014 con 62.056 unidades matriculadas y una penetración del 7,92%, lo que supone una mejora del 22,6% respecto al mismo periodo del año anterior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modelos, el Insignia se mantiene en primera posición de su segmento con una participación del 11,4% y un crecimiento respecto al año pasado del 15,3%. El Corsa, está segundo de su categoría y ha aumentado sus ventas un 18,6% frente a enero – noviembre de 2013. El Meriva consolida la tercera posición, con un 13,9% de cuota y un 87,3% de crecimiento en lo que va de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 próxima incorporación de nuevos modelos a la gama, Opel confía en seguir consolidando sus buenos resultados comerciales y atrayendo nuevos clientes a la marca.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https://www.notasdeprensa.es/opel-alcanza-la-segunda-posicion-de-ventas-en_1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