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06/02/2014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OCU y AFELMA firman un convenio de colaboración para la rehabilitación de viviendas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factura energética de los españoles ha subido más de un 60% desde 2007, un gran motivo para promover el ahorro a través del aislamiento de las casas. OCU colaborará con la Asociación de Fabricantes Españoles de Lanas Minerales Aislantes para sensibilizar a los ciudadanos.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de Consumidores y Usuarios (OCU) y la Asociación de Fabricantes Españoles de Lanas Minerales Aislantes (AFELMA) han suscrito un convenio de colaboración para impulsar la rehabilitación de viviendas y edificios.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rehabilitación requiere del impulso y participación de múltiples agentes públicos y privados a través de medidas diversas como las ayudas públicas o la articulación de créditos a bajo interés, pero la sensibilización de los ciudadanos es imprescindible: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los usuarios conozcan las ventajas de abordar la rehabilitación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que los usuarios conozcan las exigencias normativas en materia de aislamiento térmico, acústico y de protección pasiva frente al fuego </w:t>
            </w:r>
          </w:p>
            El ahorro es el motivo fundamental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OCU y AFELMA consideran que la mejora de las prestaciones térmicas de las viviendas es esencial debido al ahorro energético que provocan.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economías domésticas han sufrido un incremento de la factura eléctrica de más del 60% desde 2007.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edificación tiene un gran potencial de ahorro: es responsable del 28% del consumo final de energía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estrategia pasa por impulsar la mejora del aislamiento, reduciendo el consumo energético y las emisiones en un 40%-70%. </w:t>
            </w:r>
          </w:p>
           La salud y el bienestar, otras de las razones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OCU y AFELMA comparten la preocupación por la contaminación acústica de muchas zonas y ciudades españolas, una verdadera agresión a la intimidad de los ciudadanos y a su calidad de vida.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 Organización Mundial de la Salud, el nivel sonoro medio no debe exceder de 45 dBA durante la noche y 55 durante el día. Los estudios de OCU han demostrado que estos niveles se superan.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 del INE corroboran las bajas prestaciones térmicas y acústicas del parque de viviendas: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los 25 millones de viviendas, un 58% están construidas sin ninguna exigencia térmica y un 68% sin exigencias acústicas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porcentajes se elevan al 93% si se tienen en cuenta las viviendas construidas antes de la entrada en vigor del Código Técnico de la Edificación (CTE) </w:t>
            </w:r>
          </w:p>
            Sensibilizar, informar y formar a los ciudadanos 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OCU y AFELMA podrán organizar campañas de información a los ciudadanos en su calidad de consumidores y usuarios, además de colaborar en labores formativas, informativas y divulgativas en materia de instalación, uso y consumo de energía en los hogares (cursos, jornadas...).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AFELMA y/o sus asociados difundirán la existencia de este convenio entre los instaladores promoviendo servicios de rehabilitación de viviendas para los socios de OCU en condiciones económicas ventajosas.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(medios de comunicación):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 Jiménez Tfno: 917226061 prensa@ocu.org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(consumidores):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Twitter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https://www.notasdeprensa.es/ocu-y-afelma-firman-un-convenio-de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