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pasos en el proyecto nuclear británico de Moorside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Westinghouse Electric Company ha anunciado en un comunicado que la compañía japonesa Toshiba Corporation ha llegado a un principio de acuerdo para adquirir el sesenta por ciento de la propiedad de NuGeneration Limited (NuGen), compañía que desarrolla el proyecto de Moorside en West Cumbria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contempla la construcción de tres reactores Westinghouse AP1000 con una capacidad combinada de 3,4 GW. Una vez que la central esté plenamente operativa, se espera que Moorside aporte el siete por ciento de la electricidad requerida en Reino Unido. La primera unidad estaría operativa en el año 2024. La construcción de estas unidades creará miles de empleos cualificados durante los próximos diez años.</w:t>
            </w:r>
          </w:p>
          <w:p>
            <w:pPr>
              <w:ind w:left="-284" w:right="-427"/>
              <w:jc w:val="both"/>
              <w:rPr>
                <w:rFonts/>
                <w:color w:val="262626" w:themeColor="text1" w:themeTint="D9"/>
              </w:rPr>
            </w:pPr>
            <w:r>
              <w:t>	El 21 de diciembre de 2013 Toshiba llegó a un acuerdo con Iberdrola para adquirir su participación en NuGen -que supone el cincuenta por ciento del accionariado- y ahora acaba de hacer público la adquisición de otro diez por ciento del consorcio perteneciente a la compañía francesa GDF SUEZ.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https://www.notasdeprensa.es/nuevos-pasos-en-el-proyecto-nuclear-britanico_1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