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y Aragón celebran un encuentro para analizar estrategias de rehabilitación energética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reunión permitió intercambiar información y conocer experiencias similares en otros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Ordenación del Territorio, Movilidad y Vivienda del Gobierno de Navarra, José Antonio Marcen y la directora general de Urbanismo de Aragón, Pilar Lou Grávalos, se han reunido esta semana en el Palacio Casa del Almirante, sede de la Fundación Forcada, con el objetivo de analizar la situación de la rehabilitación energética y el uso de las energías renovables en barrios de antiguas viviendas de Navarra y Aragón, para obtener mayores niveles de eficiencia energética. 		A este encuentro acudieron también Luis Antonio Ayesa, director del Servicio de Vivienda del Gobierno de Navarra, quien expuso la situación de la llamada rehabilitación energética en Navarra. Por parte del Ayuntamiento de Tudela asistió Maribel Echave, concejala de Industria y Empleo y presidenta de la Mancomunidad de la Ribera, quien presentó la experiencia de ese ayuntamiento en el proyecto piloto de regeneración energética del barrio de Lourdes, barrio de vivienda social de los años 50, 60 y 70 que ha formado parte de un proyecto europeo que apoya a las comunidades locales en el uso de las energías renovables y tecnologías de eficiencia energética. 		En la delegación de Aragón, la directora general de Urbanismo, Pilar Lou, destacó la necesidad de replantearse los principios sobre los que se asienta la planificación territorial para poder generar un cambio de modelo que tenga como base la eficiencia energética, destacando la importancia de la integración de las infraestructuras. 		El encuentro permitió conocer trabajos similares en otros países, como las experiencias alemanas de rehabilitación energética y producción de energías renovables expuestas por Lars Porsche, del Instituto Federal de Investigación en Construcción, Urbanismo y Desarrollo Territorial de Alemania, o la situación de la biomasa forestal en EEUU, analizada por Sarah Lade. 		Por su parte, la arquitecta urbanista de NASUVINSA, Isabel Izcue, explicó la situación presente y futura de la Biomasa forestal en Navarra y la arquitecta urbanista de NASUVINSA responsable de proyectos de regeneración energética, Ana Bretaña, abordó en profundidad la rehabilitación energética acometida en el barrio de Lourdes de Tudela. 		La jornada se completó con una visita a las obras e instalaciones ejecutadas dentro del proyecto Lourdes Renove y una mesa redonda que analizó las posibilidades de colaboración entre ambas administraciones en esta materia.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https://www.notasdeprensa.es/navarra-y-aragon-celebran-un-encuentro-para_1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