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busca la consolidación internacional del Puerto de Cartagena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la Comunidad Autónoma de la Región de Murcia ha apostado por la dársena de El Gorguel, que protagonizará el proyecto de internacionalización del Puerto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regional apuesta por la construcción de la dársena de El Gorguel como "proyecto prioritario" que posibilitará "consolidar la internacionalización" del Puerto de Cartagena y situará a la Región de Murcia "como líder en el sector transportes". El consejero de Fomento e Infraestructuras, Pedro Rivera, participó en la presentación que ha realizado el presidente de la Autoridad Portuaria, Antonio Sevilla, y el Decano del Colegio Oficial de Economistas, Ramón Madrid, del acuerdo de asistencia técnica con el Colegio de Economistas para realizar un informe que analice los efectos económicos, sociales y de competitividad empresarial del nuevo puerto intermodal de Cartagena.</w:t>
            </w:r>
          </w:p>
          <w:p>
            <w:pPr>
              <w:ind w:left="-284" w:right="-427"/>
              <w:jc w:val="both"/>
              <w:rPr>
                <w:rFonts/>
                <w:color w:val="262626" w:themeColor="text1" w:themeTint="D9"/>
              </w:rPr>
            </w:pPr>
            <w:r>
              <w:t>Rivera destacó que este acuerdo "es un paso más en el desarrollo de este importante proyecto", que contempla la construcción de una dársena con capacidad para el tránsito de contenedores que superará los 2 millones de TEUS/año y la generación de 16.000 empleos directos e indirectos, una vez que esté a pleno rendimiento.</w:t>
            </w:r>
          </w:p>
          <w:p>
            <w:pPr>
              <w:ind w:left="-284" w:right="-427"/>
              <w:jc w:val="both"/>
              <w:rPr>
                <w:rFonts/>
                <w:color w:val="262626" w:themeColor="text1" w:themeTint="D9"/>
              </w:rPr>
            </w:pPr>
            <w:r>
              <w:t>Esta actuación fue declarada como ‘Proyecto de Interés Regional’ por el Gobierno regional, por su incidencia en la economía regional y en la actualidad la Comunidad Autónoma está trabajando con la Autoridad Portuaria y los Ministerios de Fomento y de Medio Ambiente para que el proyecto obtenga el visto bueno de la UE, y pueda continuar su tramitación.</w:t>
            </w:r>
          </w:p>
          <w:p>
            <w:pPr>
              <w:ind w:left="-284" w:right="-427"/>
              <w:jc w:val="both"/>
              <w:rPr>
                <w:rFonts/>
                <w:color w:val="262626" w:themeColor="text1" w:themeTint="D9"/>
              </w:rPr>
            </w:pPr>
            <w:r>
              <w:t>El titular de Fomento indicó que "esta actuación incrementará la competitividad del Puerto de Cartagena convirtiéndolo en una gran plataforma portuaria intercontinental y, junto con el Corredor Mediterráneo Ferroviario posibilitará que las mercancías procedentes de Asia lleguen al centro y norte de Europa con una antelación de 4 días en relación a los puertos situados en la fachada atlántica y norte de Europa".</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https://www.notasdeprensa.es/murcia-busca-la-consolidacion-internacional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