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Redmond el 07/08/2024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MicroVision anuncia los resultados del segundo trimestre de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MicroVision, Inc. (NASDAQ:MVIS), líder en soluciones lidar y ADAS de estado sólido para automoción basadas en MEMS, ha anunciado hoy sus resultados del segundo trimestre de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Principales datos empresariales del segundo trimestre de 2024</w:t>
            </w:r>
          </w:p>
          <w:p>
            <w:pPr>
              <w:ind w:left="-284" w:right="-427"/>
              <w:jc w:val="both"/>
              <w:rPr>
                <w:rFonts/>
                <w:color w:val="262626" w:themeColor="text1" w:themeTint="D9"/>
              </w:rPr>
            </w:pPr>
            <w:r>
              <w:t>Impulso de las previsiones para todo el año gracias a los ingresos del segundo trimestre procedentes de clientes industriales.</w:t>
            </w:r>
          </w:p>
          <w:p>
            <w:pPr>
              <w:ind w:left="-284" w:right="-427"/>
              <w:jc w:val="both"/>
              <w:rPr>
                <w:rFonts/>
                <w:color w:val="262626" w:themeColor="text1" w:themeTint="D9"/>
              </w:rPr>
            </w:pPr>
            <w:r>
              <w:t>Colaboración activa con los principales fabricantes mundiales de equipos originales de automoción, con siete peticiones de oferta de gran volumen para vehículos de pasajeros y oportunidades de desarrollo a medida.</w:t>
            </w:r>
          </w:p>
          <w:p>
            <w:pPr>
              <w:ind w:left="-284" w:right="-427"/>
              <w:jc w:val="both"/>
              <w:rPr>
                <w:rFonts/>
                <w:color w:val="262626" w:themeColor="text1" w:themeTint="D9"/>
              </w:rPr>
            </w:pPr>
            <w:r>
              <w:t>Perseguir múltiples oportunidades de ingresos a corto plazo con clientes industriales en la vertical de equipos pesados.</w:t>
            </w:r>
          </w:p>
          <w:p>
            <w:pPr>
              <w:ind w:left="-284" w:right="-427"/>
              <w:jc w:val="both"/>
              <w:rPr>
                <w:rFonts/>
                <w:color w:val="262626" w:themeColor="text1" w:themeTint="D9"/>
              </w:rPr>
            </w:pPr>
            <w:r>
              <w:t>Ampliación de la capacidad financiera y la eficacia operativa, racionalización de la tesorería y aprovechamiento de las ventas a corto plazo de hardware y software a clientes industriales y de automoción.</w:t>
            </w:r>
          </w:p>
          <w:p>
            <w:pPr>
              <w:ind w:left="-284" w:right="-427"/>
              <w:jc w:val="both"/>
              <w:rPr>
                <w:rFonts/>
                <w:color w:val="262626" w:themeColor="text1" w:themeTint="D9"/>
              </w:rPr>
            </w:pPr>
            <w:r>
              <w:t>"Estamos satisfechos con nuestra continua participación en RFQs con OEMs de automoción y también estamos entusiasmados con el aumento del interés en la colaboración y el trabajo de desarrollo pre-RFQ. Con los retrasos en los proyectos y otros vientos en contra de la industria automotriz, hemos trabajado duro para posicionar a MicroVision para resistir con éxito estos desafíos", dijo Sumit Sharma, Director Ejecutivo de MicroVision. "Hemos reducido los gastos operativos para ampliar nuestra capacidad financiera y estamos centrados en las oportunidades de ingresos a corto plazo en los mercados no automovilísticos".</w:t>
            </w:r>
          </w:p>
          <w:p>
            <w:pPr>
              <w:ind w:left="-284" w:right="-427"/>
              <w:jc w:val="both"/>
              <w:rPr>
                <w:rFonts/>
                <w:color w:val="262626" w:themeColor="text1" w:themeTint="D9"/>
              </w:rPr>
            </w:pPr>
            <w:r>
              <w:t>"Aunque los proyectos de automoción tardan más en ponerse en marcha, seguimos colaborando activamente con varios fabricantes de equipos originales de todo el mundo en proyectos de desarrollo a corto plazo relacionados con vehículos de pasajeros cuyo lanzamiento está previsto para finales de esta década", añadió Sharma.</w:t>
            </w:r>
          </w:p>
          <w:p>
            <w:pPr>
              <w:ind w:left="-284" w:right="-427"/>
              <w:jc w:val="both"/>
              <w:rPr>
                <w:rFonts/>
                <w:color w:val="262626" w:themeColor="text1" w:themeTint="D9"/>
              </w:rPr>
            </w:pPr>
            <w:r>
              <w:t>Principales datos financieros del segundo trimestre de 2024</w:t>
            </w:r>
          </w:p>
          <w:p>
            <w:pPr>
              <w:ind w:left="-284" w:right="-427"/>
              <w:jc w:val="both"/>
              <w:rPr>
                <w:rFonts/>
                <w:color w:val="262626" w:themeColor="text1" w:themeTint="D9"/>
              </w:rPr>
            </w:pPr>
            <w:r>
              <w:t>Los ingresos del segundo trimestre de 2024 ascendieron a 1,9 millones de dólares, frente a los 0,3 millones del segundo trimestre de 2023, debido principalmente a las ventas de hardware a un cliente histórico del mercado agrícola.</w:t>
            </w:r>
          </w:p>
          <w:p>
            <w:pPr>
              <w:ind w:left="-284" w:right="-427"/>
              <w:jc w:val="both"/>
              <w:rPr>
                <w:rFonts/>
                <w:color w:val="262626" w:themeColor="text1" w:themeTint="D9"/>
              </w:rPr>
            </w:pPr>
            <w:r>
              <w:t>La pérdida neta para el segundo trimestre de 2024 fue de 23,9 millones de dólares, o 0,11 dólares por acción, que incluye 3,4 millones de dólares de gastos de compensación no monetarios basados en acciones y 3,0 millones de dólares de gastos no monetarios por deterioro de activos, en comparación con una pérdida neta de 20,6 millones de dólares, o 0,12 dólares por acción, que incluye 3,9 millones de dólares de gastos de compensación no monetarios basados en acciones, para el segundo trimestre de 2023.</w:t>
            </w:r>
          </w:p>
          <w:p>
            <w:pPr>
              <w:ind w:left="-284" w:right="-427"/>
              <w:jc w:val="both"/>
              <w:rPr>
                <w:rFonts/>
                <w:color w:val="262626" w:themeColor="text1" w:themeTint="D9"/>
              </w:rPr>
            </w:pPr>
            <w:r>
              <w:t>Adjusted EBITDA for Q2 2024 was a loss of $12.6 million, compared to a loss of $15.3 million in Q2 2023.</w:t>
            </w:r>
          </w:p>
          <w:p>
            <w:pPr>
              <w:ind w:left="-284" w:right="-427"/>
              <w:jc w:val="both"/>
              <w:rPr>
                <w:rFonts/>
                <w:color w:val="262626" w:themeColor="text1" w:themeTint="D9"/>
              </w:rPr>
            </w:pPr>
            <w:r>
              <w:t>La tesorería utilizada en operaciones en el segundo trimestre de 2024 fue de 18,6 millones de dólares, frente a una tesorería utilizada en operaciones en el segundo trimestre de 2023 de 16,6 millones de dólares.</w:t>
            </w:r>
          </w:p>
          <w:p>
            <w:pPr>
              <w:ind w:left="-284" w:right="-427"/>
              <w:jc w:val="both"/>
              <w:rPr>
                <w:rFonts/>
                <w:color w:val="262626" w:themeColor="text1" w:themeTint="D9"/>
              </w:rPr>
            </w:pPr>
            <w:r>
              <w:t>La empresa finalizó el segundo trimestre de 2024 con 56,7 millones de dólares en efectivo y equivalentes de efectivo, incluidos los valores de inversión, frente a los 73,8 millones de dólares a 31 de diciembre de 2023.</w:t>
            </w:r>
          </w:p>
          <w:p>
            <w:pPr>
              <w:ind w:left="-284" w:right="-427"/>
              <w:jc w:val="both"/>
              <w:rPr>
                <w:rFonts/>
                <w:color w:val="262626" w:themeColor="text1" w:themeTint="D9"/>
              </w:rPr>
            </w:pPr>
            <w:r>
              <w:t>Conferencia telefónica y webcast: Resultados del segundo trimestre de 2024MicroVision organizará una conferencia telefónica y un webcast, que consistirá en comentarios preparados por la dirección, una presentación de diapositivas y una sesión de preguntas y respuestas a las 13:30 PT/4:30 ET del miércoles 7 de agosto de 2024 para comentar los resultados financieros y ofrecer una actualización del negocio. Los analistas e inversores podrán plantear preguntas a la dirección durante la retransmisión en directo del 7 de agosto de 2024.</w:t>
            </w:r>
          </w:p>
          <w:p>
            <w:pPr>
              <w:ind w:left="-284" w:right="-427"/>
              <w:jc w:val="both"/>
              <w:rPr>
                <w:rFonts/>
                <w:color w:val="262626" w:themeColor="text1" w:themeTint="D9"/>
              </w:rPr>
            </w:pPr>
            <w:r>
              <w:t>Se puede acceder a la retransmisión en directo y a la presentación de diapositivas en el sitio web de Relaciones con los Inversores de la empresa, en la pestaña Eventos de https://ir.microvision.com/events. La retransmisión se archivará en el sitio web para futuras consultas.</w:t>
            </w:r>
          </w:p>
          <w:p>
            <w:pPr>
              <w:ind w:left="-284" w:right="-427"/>
              <w:jc w:val="both"/>
              <w:rPr>
                <w:rFonts/>
                <w:color w:val="262626" w:themeColor="text1" w:themeTint="D9"/>
              </w:rPr>
            </w:pPr>
            <w:r>
              <w:t>Más información en:www.microvision.comwww.facebook.com/microvisioninchttps://www.linkedin.com/company/microvision/.</w:t>
            </w:r>
          </w:p>
          <w:p>
            <w:pPr>
              <w:ind w:left="-284" w:right="-427"/>
              <w:jc w:val="both"/>
              <w:rPr>
                <w:rFonts/>
                <w:color w:val="262626" w:themeColor="text1" w:themeTint="D9"/>
              </w:rPr>
            </w:pPr>
            <w:r>
              <w:t>MicroVision, MAVIN, MOSAIK y MOVIA son marcas comerciales de MicroVision, Inc. en Estados Unidos y otros países. Todas las demás marcas comerciales pertenecen a sus respectivos propietarios.</w:t>
            </w:r>
          </w:p>
          <w:p>
            <w:pPr>
              <w:ind w:left="-284" w:right="-427"/>
              <w:jc w:val="both"/>
              <w:rPr>
                <w:rFonts/>
                <w:color w:val="262626" w:themeColor="text1" w:themeTint="D9"/>
              </w:rPr>
            </w:pPr>
            <w:r>
              <w:t>Información no-GAAPPara complementar los estados financieros condensados de MicroVision presentados de acuerdo con GAAP, la empresa presenta a los inversores las medidas financieras no GAAP "EBITDA ajustado" y "Beneficio bruto ajustado". El EBITDA ajustado consiste en los ingresos (pérdidas) netos GAAP excluyendo el impacto de lo siguiente: ingresos por intereses y gastos por intereses; gastos por impuestos sobre las ganancias; depreciación y amortización; ganancia por compra de negociación; compensación basada en acciones; cargos por deterioro; y costes de reestructuración. El Beneficio Bruto Ajustado se calcula como el beneficio bruto GAAP antes del gasto por compensación basada en acciones y la amortización de intangibles adquiridos incluidos en el coste de los ingresos.</w:t>
            </w:r>
          </w:p>
          <w:p>
            <w:pPr>
              <w:ind w:left="-284" w:right="-427"/>
              <w:jc w:val="both"/>
              <w:rPr>
                <w:rFonts/>
                <w:color w:val="262626" w:themeColor="text1" w:themeTint="D9"/>
              </w:rPr>
            </w:pPr>
            <w:r>
              <w:t>MicroVision cree que la presentación del EBITDA ajustado y del beneficio bruto ajustado proporciona información complementaria importante a la dirección y a los inversores en relación con las tendencias financieras y empresariales, proporciona coherencia y comparabilidad con los informes financieros anteriores de MicroVision y facilita las comparaciones con otras empresas del sector de la empresa, muchas de las cuales utilizan medidas financieras no GAAP similares para complementar sus resultados GAAP. Internamente, la dirección utiliza estas medidas no GAAP al evaluar el rendimiento operativo porque la exclusión de los elementos descritos anteriormente proporciona una medida útil adicional de los resultados operativos de la empresa y facilita las comparaciones del rendimiento operativo básico de la empresa con periodos anteriores y sus objetivos empresariales.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Microvision</w:t>
      </w:r>
    </w:p>
    <w:p w:rsidR="00C31F72" w:rsidRDefault="00C31F72" w:rsidP="00AB63FE">
      <w:pPr>
        <w:pStyle w:val="Sinespaciado"/>
        <w:spacing w:line="276" w:lineRule="auto"/>
        <w:ind w:left="-284"/>
        <w:rPr>
          <w:rFonts w:ascii="Arial" w:hAnsi="Arial" w:cs="Arial"/>
        </w:rPr>
      </w:pPr>
      <w:r>
        <w:rPr>
          <w:rFonts w:ascii="Arial" w:hAnsi="Arial" w:cs="Arial"/>
        </w:rPr>
        <w:t>Microvision</w:t>
      </w:r>
    </w:p>
    <w:p w:rsidR="00AB63FE" w:rsidRDefault="00C31F72" w:rsidP="00AB63FE">
      <w:pPr>
        <w:pStyle w:val="Sinespaciado"/>
        <w:spacing w:line="276" w:lineRule="auto"/>
        <w:ind w:left="-284"/>
        <w:rPr>
          <w:rFonts w:ascii="Arial" w:hAnsi="Arial" w:cs="Arial"/>
        </w:rPr>
      </w:pPr>
      <w:r>
        <w:rPr>
          <w:rFonts w:ascii="Arial" w:hAnsi="Arial" w:cs="Arial"/>
        </w:rPr>
        <w:t>+49 162-593-4931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https://www.notasdeprensa.es/microvision-anuncia-los-resultados-del-segundo_2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Industria Automotriz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