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Micofenolato mofetilo y micofenolato sódico: riesgo de malformaciones congénitas y aborto espontáneo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Agencia Española de Medicamentos y Productos Sanitarios (AEMPS) ha lanzado una alerta sobre el el micofenolato mofetilo y el micofenolato sódico que, debido al riesgo de aparición de malformaciones congénitas y aborto espontáneo, sólo deben administrarse a mujeres embarazadas en caso de que no se pueda utilizar ninguna otra alternativa terapéutica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AEMPS ha establecido las siguientes recomendaciones dirigidas a los profesionales sanitarios: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mujeres embarazadas el micofenolato mofetilo y el micofenolato sódico sólo se administrarán en caso de que no se pueda utilizar ninguna otra alternativa terapéutica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Antes de administrar micofenolato de mofetilo o micofenolato sódico a mujeres con capacidad de gestación se deberá: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Descartar la existencia de un embarazo. Se recomienda realizar dos pruebas analíticas (sangre u orina) separadas entre sí por un plazo de 8-10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Constatar que la mujer está adoptando medidas anticonceptivas eficaces, recomendándole utilizar simultáneamente dos métodos complementarios durante todo el tratamiento y hasta 6 semanas después de haberlo finalizado.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los varones se les explicará que, durante el tratamiento y hasta 90 días después de que éste haya finalizado, deberán utilizar preservativo en sus relaciones sexuales. Asimismo se recomienda que sus parejas adopten medidas anticonceptivas eficaces durante este mismo periodo.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la página web de la AEMPS.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Facebook Like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Tweet Widget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Google Plus 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https://www.notasdeprensa.es/micofenolato-mofetilo-y-micofenolato-sodico_1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