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90% de las entidades sociales podrían desaparecer con la nueva Ley de Subvenciones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Plataforma del Tercer Sector organiza el próximo 31 de marzo un seminario dirigido a directivos y técnicos para analizar el Anteproyecto de Ley Regulador de Subvenciones	   </w:t>
            </w:r>
          </w:p>
          <w:p>
            <w:pPr>
              <w:ind w:left="-284" w:right="-427"/>
              <w:jc w:val="both"/>
              <w:rPr>
                <w:rFonts/>
                <w:color w:val="262626" w:themeColor="text1" w:themeTint="D9"/>
              </w:rPr>
            </w:pPr>
            <w:r>
              <w:t>		La Plataforma del Tercer Sector organiza el próximo lunes 31 de marzo un Seminario dirigido a directivos y técnicos de las entidades del sector para analizar la reforma de la Ley de Subvenciones que prepara el Gobierno y sus consecuencias para el Tercer Sector que pasan porque más del 90% de sus entidades podrían desaparecer si el anteproyecto sigue adelante, poniendo en peligro los servicios que prestan a los colectivos más vulnerables.</w:t>
            </w:r>
          </w:p>
          <w:p>
            <w:pPr>
              <w:ind w:left="-284" w:right="-427"/>
              <w:jc w:val="both"/>
              <w:rPr>
                <w:rFonts/>
                <w:color w:val="262626" w:themeColor="text1" w:themeTint="D9"/>
              </w:rPr>
            </w:pPr>
            <w:r>
              <w:t>		El Anteproyecto que modifica la Ley General de Subvenciones hasta ahora vigente conduciría a un verdadero calvario administrativo y a un altísimo riesgo financiero para las organizaciones del Tercer Sector dado el enorme empeoramiento que este Anteproyecto de Ley implica en cuanto  al acceso a las subvenciones, el cobro de anticipos, los porcentajes de cofinanciación, los procesos de justificación, y el régimen sancionador exorbitante.</w:t>
            </w:r>
          </w:p>
          <w:p>
            <w:pPr>
              <w:ind w:left="-284" w:right="-427"/>
              <w:jc w:val="both"/>
              <w:rPr>
                <w:rFonts/>
                <w:color w:val="262626" w:themeColor="text1" w:themeTint="D9"/>
              </w:rPr>
            </w:pPr>
            <w:r>
              <w:t>		En lo referente a aspectos relativos a cofinanciación, la Plataforma recuerda que el Anteproyecto establece un sistema de cofinanciación para todas las entidades objeto de subvención con independencia de los programas que se desarrollan, lo que implica que los servicios que se prestan a las personas en riesgo de exclusión social a través del Tercer Sector, tendrán que ser cofinanciados con otro tipo de fondos privados.</w:t>
            </w:r>
          </w:p>
          <w:p>
            <w:pPr>
              <w:ind w:left="-284" w:right="-427"/>
              <w:jc w:val="both"/>
              <w:rPr>
                <w:rFonts/>
                <w:color w:val="262626" w:themeColor="text1" w:themeTint="D9"/>
              </w:rPr>
            </w:pPr>
            <w:r>
              <w:t>		La Plataforma recuerda que el sistema de servicios sociales y de mantenimiento de los derechos sociales básicos “no es una responsabilidad de la cual la administración pública pueda liberarse, dejándola en manos privadas, ya que resulta básico para el correcto funcionamiento democrático de una sociedad inclusiva”. </w:t>
            </w:r>
          </w:p>
          <w:p>
            <w:pPr>
              <w:ind w:left="-284" w:right="-427"/>
              <w:jc w:val="both"/>
              <w:rPr>
                <w:rFonts/>
                <w:color w:val="262626" w:themeColor="text1" w:themeTint="D9"/>
              </w:rPr>
            </w:pPr>
            <w:r>
              <w:t>		Además, insiste en que el sistema de cofinanciación lleva a la situación paradójica de que sean las propias entidades sociales las que están financiando a la administración pública para el cumplimiento de sus obligaciones con la ciudadanía más desprotegida.</w:t>
            </w:r>
          </w:p>
          <w:p>
            <w:pPr>
              <w:ind w:left="-284" w:right="-427"/>
              <w:jc w:val="both"/>
              <w:rPr>
                <w:rFonts/>
                <w:color w:val="262626" w:themeColor="text1" w:themeTint="D9"/>
              </w:rPr>
            </w:pPr>
            <w:r>
              <w:t>		De mantenerse la redacción propuesta, tal y como está redactada la cofinanciación, abocaría a muchas entidades receptoras de subvenciones del sector social a su material desaparición o bien a permitir la entrada de capital privado y lucrativo.</w:t>
            </w:r>
          </w:p>
          <w:p>
            <w:pPr>
              <w:ind w:left="-284" w:right="-427"/>
              <w:jc w:val="both"/>
              <w:rPr>
                <w:rFonts/>
                <w:color w:val="262626" w:themeColor="text1" w:themeTint="D9"/>
              </w:rPr>
            </w:pPr>
            <w:r>
              <w:t>		Sobre los aspectos relativosa la finalidad y posibles entidades receptoras, la PTS alerta de que la indefinición en algunos artículos puede abrir la percepción de subvenciones a entidades privadas que persiguen fines lucrativos. Es por ello que se pretende traer al artículo el concepto de “interés general” que figura en el texto de la Ley vigente.</w:t>
            </w:r>
          </w:p>
          <w:p>
            <w:pPr>
              <w:ind w:left="-284" w:right="-427"/>
              <w:jc w:val="both"/>
              <w:rPr>
                <w:rFonts/>
                <w:color w:val="262626" w:themeColor="text1" w:themeTint="D9"/>
              </w:rPr>
            </w:pPr>
            <w:r>
              <w:t>		En cuanto a los aspectos relativos a regulación de anticipos, la PTS lamenta queen la propuesta no se plantee modificar el artículo que establece que el pago de la subvención no se realizará hasta su justificación y recuerda que para las entidades del Tercer Sector de Acción Social tiene una especial incidencia la necesidad de liquidez para hacer frente a sus objetivos, por los que se ejecutan proyectos sociales de atención directa a colectivos vulnerables, que como norma general deberían comprender el pago anticipado de la subvención.</w:t>
            </w:r>
          </w:p>
          <w:p>
            <w:pPr>
              <w:ind w:left="-284" w:right="-427"/>
              <w:jc w:val="both"/>
              <w:rPr>
                <w:rFonts/>
                <w:color w:val="262626" w:themeColor="text1" w:themeTint="D9"/>
              </w:rPr>
            </w:pPr>
            <w:r>
              <w:t>		En caso contrario se obliga a las entidades a actuar sometidas a condiciones de crédito. De mantenerse la redacción propuesta, la regulación hará que sea casi imposible que entidades sin grandes recursos patrimoniales puedan abordar actividades subvencionadas.</w:t>
            </w:r>
          </w:p>
          <w:p>
            <w:pPr>
              <w:ind w:left="-284" w:right="-427"/>
              <w:jc w:val="both"/>
              <w:rPr>
                <w:rFonts/>
                <w:color w:val="262626" w:themeColor="text1" w:themeTint="D9"/>
              </w:rPr>
            </w:pPr>
            <w:r>
              <w:t>		El presidente de la Plataforma del Tercer Sector, Luciano Poyato, ha tenido varios encuentros en el marco de la Comisión de Diálogo Civil con la Secretaría de Estado de Servicios Sociales e Igualdad para abordar esta reforma.</w:t>
            </w:r>
          </w:p>
          <w:p>
            <w:pPr>
              <w:ind w:left="-284" w:right="-427"/>
              <w:jc w:val="both"/>
              <w:rPr>
                <w:rFonts/>
                <w:color w:val="262626" w:themeColor="text1" w:themeTint="D9"/>
              </w:rPr>
            </w:pPr>
            <w:r>
              <w:t>		Seminario Ley de Subvenciones</w:t>
            </w:r>
          </w:p>
          <w:p>
            <w:pPr>
              <w:ind w:left="-284" w:right="-427"/>
              <w:jc w:val="both"/>
              <w:rPr>
                <w:rFonts/>
                <w:color w:val="262626" w:themeColor="text1" w:themeTint="D9"/>
              </w:rPr>
            </w:pPr>
            <w:r>
              <w:t>		El Seminario organizado por la Plataforma, abordará, entre otras cuestiones, la experiencia del Tercer Sector en la tramitación de la Ley 38/2003 General de Subvenciones y su impacto en el Tercer Sector, el anteproyecto de la nueva Ley General de Subvenciones y las principales novedades respecto a la legislación vigente, y previsible impacto en el sector.</w:t>
            </w:r>
          </w:p>
          <w:p>
            <w:pPr>
              <w:ind w:left="-284" w:right="-427"/>
              <w:jc w:val="both"/>
              <w:rPr>
                <w:rFonts/>
                <w:color w:val="262626" w:themeColor="text1" w:themeTint="D9"/>
              </w:rPr>
            </w:pPr>
            <w:r>
              <w:t>		Se trata de un coloquio abierto para debate y propuestas de las entidades del Tercer Sector sobre el anteproyecto de Ley. Posteriormente, se redactará un documento de conclusiones con los aspectos más relevantes abordados durante la jornada.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del Voluntariado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https://www.notasdeprensa.es/mas-del-90-de-las-entidades-sociales-podrian_1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