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cuatro millones para la limpieza y el mantenimiento de zonas verdes e infraestructuras en la Red Natura 2000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19/06/2015 Más de cuatro millones para la limpieza y el mantenimiento de zonas verdes e infraestructuras en la Red Natura 2000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Gobierno en funciones ha autorizado, en su sesión de hoy viernes, 19 de junio de 2015, a propuesta de la Consejería de Agricultura y Agua, la contratación y el gasto del servicio integral de limpieza y mantenimiento de zonas verdes en áreas de uso público y red de infraestructuras para la defensa del medio natural en la Red Natura 2000 de la Región de Murcia. El presupuesto destinado es de 4.043.990 euros distribuidos en cinco anualidades hasta 2019.</w:t>
            </w:r>
          </w:p>
          <w:p>
            <w:pPr>
              <w:ind w:left="-284" w:right="-427"/>
              <w:jc w:val="both"/>
              <w:rPr>
                <w:rFonts/>
                <w:color w:val="262626" w:themeColor="text1" w:themeTint="D9"/>
              </w:rPr>
            </w:pPr>
            <w:r>
              <w:t>	Entre los principales objetivos de este servicio se encuentra la recogida de basuras ocasionales arrojadas en los espacios naturales protegidos y la reducción de vertederos incontrolados. También contempla la limpieza de infraestructuras básicas, como centros de visitantes, puntos de información, refugios, aulas, senderos y casas forestales.</w:t>
            </w:r>
          </w:p>
          <w:p>
            <w:pPr>
              <w:ind w:left="-284" w:right="-427"/>
              <w:jc w:val="both"/>
              <w:rPr>
                <w:rFonts/>
                <w:color w:val="262626" w:themeColor="text1" w:themeTint="D9"/>
              </w:rPr>
            </w:pPr>
            <w:r>
              <w:t>	Asimismo, se incluye la limpieza de infraestructuras ligeras, como áreas de recreo, zonas de acampada, miradores y aparcamientos, entre otras actuaciones.</w:t>
            </w:r>
          </w:p>
          <w:p>
            <w:pPr>
              <w:ind w:left="-284" w:right="-427"/>
              <w:jc w:val="both"/>
              <w:rPr>
                <w:rFonts/>
                <w:color w:val="262626" w:themeColor="text1" w:themeTint="D9"/>
              </w:rPr>
            </w:pPr>
            <w:r>
              <w:t>	Además, los responsables de este servicio se encargarán de la limpieza de infraestructuras para la defensa del medio natural como los centros de coordinación forestal, centros regionales de agentes medioambientales, centros de producción genética de semillas y los centros comarcales forestales.</w:t>
            </w:r>
          </w:p>
          <w:p>
            <w:pPr>
              <w:ind w:left="-284" w:right="-427"/>
              <w:jc w:val="both"/>
              <w:rPr>
                <w:rFonts/>
                <w:color w:val="262626" w:themeColor="text1" w:themeTint="D9"/>
              </w:rPr>
            </w:pPr>
            <w:r>
              <w:t>	También estarán incluidas las bases de brigadas, puntos de vigilancia fija, bases de brigadas forestales de lucha contra incendios. Igualmente, se ocuparán de la retirada de basuras y escombros a puntos de vertido autorizado, entre otras actuaciones.</w:t>
            </w:r>
          </w:p>
          <w:p>
            <w:pPr>
              <w:ind w:left="-284" w:right="-427"/>
              <w:jc w:val="both"/>
              <w:rPr>
                <w:rFonts/>
                <w:color w:val="262626" w:themeColor="text1" w:themeTint="D9"/>
              </w:rPr>
            </w:pPr>
            <w:r>
              <w:t>	Los trabajos recogidos en el nuevo contrato comenzarán el próximo 1 de octubre de 2015, cuando finalice el contrato de servicio en vigor.</w:t>
            </w:r>
          </w:p>
          <w:p>
            <w:pPr>
              <w:ind w:left="-284" w:right="-427"/>
              <w:jc w:val="both"/>
              <w:rPr>
                <w:rFonts/>
                <w:color w:val="262626" w:themeColor="text1" w:themeTint="D9"/>
              </w:rPr>
            </w:pPr>
            <w:r>
              <w:t>	Otros acuerdos</w:t>
            </w:r>
          </w:p>
          <w:p>
            <w:pPr>
              <w:ind w:left="-284" w:right="-427"/>
              <w:jc w:val="both"/>
              <w:rPr>
                <w:rFonts/>
                <w:color w:val="262626" w:themeColor="text1" w:themeTint="D9"/>
              </w:rPr>
            </w:pPr>
            <w:r>
              <w:t>	Igualmente, el Consejo de Gobierno en funciones ha dado luz verde a la contratación y el gasto de las obras incluidas en el proyecto del colector general de saneamiento de Los Conventos en Lorca, que saldrán a licitación por un importe de 2.495.158 euros, financiados en un 80 por ciento por el Fondo de Cohesión de la Unión Europea.</w:t>
            </w:r>
          </w:p>
          <w:p>
            <w:pPr>
              <w:ind w:left="-284" w:right="-427"/>
              <w:jc w:val="both"/>
              <w:rPr>
                <w:rFonts/>
                <w:color w:val="262626" w:themeColor="text1" w:themeTint="D9"/>
              </w:rPr>
            </w:pPr>
            <w:r>
              <w:t>	Por otra parte, el Ejecutivo regional destinará un total de 443.193 euros, financiados en un 80 por ciento por fondos FEDER de la Unión Europea a las obras de adecuación del Laboratorio de Riegos en el pabellón 1 del IMIDA.</w:t>
            </w:r>
          </w:p>
          <w:p>
            <w:pPr>
              <w:ind w:left="-284" w:right="-427"/>
              <w:jc w:val="both"/>
              <w:rPr>
                <w:rFonts/>
                <w:color w:val="262626" w:themeColor="text1" w:themeTint="D9"/>
              </w:rPr>
            </w:pPr>
            <w:r>
              <w:t>	En el ámbito social, el Ejecutivo regional en funciones ha dado luz verde a tres convenios, por un importe global superior a 300.000 euros, con los ayuntamientos de Abarán, Alcantarilla y Puerto Lumbreras para ofrecer el servicio de ayuda a domicilio a 150 personas en situación de dependencia de estos municipios.</w:t>
            </w:r>
          </w:p>
          <w:p>
            <w:pPr>
              <w:ind w:left="-284" w:right="-427"/>
              <w:jc w:val="both"/>
              <w:rPr>
                <w:rFonts/>
                <w:color w:val="262626" w:themeColor="text1" w:themeTint="D9"/>
              </w:rPr>
            </w:pPr>
            <w:r>
              <w:t>	Por otra parte, el Gobierno regional en funciones ha dado el visto bueno a un convenio con la comunidad de propietarios ‘El Mercadillo del Centro Comercial Las Dunas’ para la construcción de una rotonda en la carretera RM-12, en Cabo de Palos, en el término municipal de Cartagena.</w:t>
            </w:r>
          </w:p>
          <w:p>
            <w:pPr>
              <w:ind w:left="-284" w:right="-427"/>
              <w:jc w:val="both"/>
              <w:rPr>
                <w:rFonts/>
                <w:color w:val="262626" w:themeColor="text1" w:themeTint="D9"/>
              </w:rPr>
            </w:pPr>
            <w:r>
              <w:t>	En materia educativa, el Consejo de Gobierno en funciones ha aprobado el nuevo texto del convenio tipo de colaboración con entidades sin ánimo de lucro para la formación permanente del profesorado no universitario de la Región de Murcia, entre otros acuerdos.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https://www.notasdeprensa.es/mas-de-cuatro-millones-para-la-limpieza-y-el_1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