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12,8 millones de españoles están en riesgo de pobreza o exclusión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27,3 por ciento de la población de España, más de 12,8 millones de personas, se encuentra en riesgo de pobreza o exclusión, cifra que se ha incrementado un 2,6 por ciento desde el año 2009, es decir, 1.320.216 personas que han caído en esta situación y antes, no lo estaban.</w:t>
            </w:r>
          </w:p>
          <w:p>
            <w:pPr>
              <w:ind w:left="-284" w:right="-427"/>
              <w:jc w:val="both"/>
              <w:rPr>
                <w:rFonts/>
                <w:color w:val="262626" w:themeColor="text1" w:themeTint="D9"/>
              </w:rPr>
            </w:pPr>
            <w:r>
              <w:t>	Así se desprende del cuarto informe sobre El Estado de la Pobreza en España que ha presentado este martes la Red Europea de Lucha contra la Pobreza y la Exclusión Social en el Estado Español (EAPN) y que analiza la evolución del indicador europeo AROPE (combina la renta con las posibilidades de consumo y el empleo) entre los años 2009 y 2013, informa Europa Press.</w:t>
            </w:r>
          </w:p>
          <w:p>
            <w:pPr>
              <w:ind w:left="-284" w:right="-427"/>
              <w:jc w:val="both"/>
              <w:rPr>
                <w:rFonts/>
                <w:color w:val="262626" w:themeColor="text1" w:themeTint="D9"/>
              </w:rPr>
            </w:pPr>
            <w:r>
              <w:t>	Los datos, del Instituto Nacional de Estadística, revelan un descenso lento pero continuado de la tasa AROPE hasta poco antes del comienzo de la crisis y un cambio a partir de 2008, cuando empezó a subir desde el 24,5% de la población hasta el 27,3% registrado en 2013.</w:t>
            </w:r>
          </w:p>
          <w:p>
            <w:pPr>
              <w:ind w:left="-284" w:right="-427"/>
              <w:jc w:val="both"/>
              <w:rPr>
                <w:rFonts/>
                <w:color w:val="262626" w:themeColor="text1" w:themeTint="D9"/>
              </w:rPr>
            </w:pPr>
            <w:r>
              <w:t>	Aunque el crecimiento del riesgo de pobreza y exclusión se ralentizó desde 2010 y en 2013 sólo creció un 0,1%, la EAPN descarta que tenga que ver con una mejora de la situación: “Se explica como un mero efecto estadístico causado por la reducción de ingresos en amplias capas de la población –baja el umbral de pobreza–, a lo que debe añadirse que el retorno de inmigrantes pobres a sus países de origen”, explica el informe.</w:t>
            </w:r>
          </w:p>
          <w:p>
            <w:pPr>
              <w:ind w:left="-284" w:right="-427"/>
              <w:jc w:val="both"/>
              <w:rPr>
                <w:rFonts/>
                <w:color w:val="262626" w:themeColor="text1" w:themeTint="D9"/>
              </w:rPr>
            </w:pPr>
            <w:r>
              <w:t>	También se ha producido otro cambio estadístico en el modo en que el INE recoge los datos. Si en 2013 se aplicase el criterio que regía desde 2004, el indicador Arope seria un punto mayor, es decir, un 28,4 por ciento de la población en riesgo de pobreza y exclusión frente al 27,3 que reflejan los datos tras la modificación.</w:t>
            </w:r>
          </w:p>
          <w:p>
            <w:pPr>
              <w:ind w:left="-284" w:right="-427"/>
              <w:jc w:val="both"/>
              <w:rPr>
                <w:rFonts/>
                <w:color w:val="262626" w:themeColor="text1" w:themeTint="D9"/>
              </w:rPr>
            </w:pPr>
            <w:r>
              <w:t>	JÓVENES Y NIÑOS, LOS MÁS AFECTADOS</w:t>
            </w:r>
          </w:p>
          <w:p>
            <w:pPr>
              <w:ind w:left="-284" w:right="-427"/>
              <w:jc w:val="both"/>
              <w:rPr>
                <w:rFonts/>
                <w:color w:val="262626" w:themeColor="text1" w:themeTint="D9"/>
              </w:rPr>
            </w:pPr>
            <w:r>
              <w:t>	La situación varía en función de los perfiles. Al cierre de 2013 el colectivo más afectado era el de jóvenes entre 16 y 30, con un 33% en riesgo de pobreza y exclusión, seguido de los niños, con un 31,9 por ciento. En total, la tasa de pobreza infantil para menores de 16 años es del 26,7%, seis puntos por encima del conjunto de la población.</w:t>
            </w:r>
          </w:p>
          <w:p>
            <w:pPr>
              <w:ind w:left="-284" w:right="-427"/>
              <w:jc w:val="both"/>
              <w:rPr>
                <w:rFonts/>
                <w:color w:val="262626" w:themeColor="text1" w:themeTint="D9"/>
              </w:rPr>
            </w:pPr>
            <w:r>
              <w:t>	Arope analiza tanto la tasa de pobreza relativa, que afecta al 20,4% de la población de España (un 6,06% es severa), como la privación material severa, en la que vive el 6,2% de los ciudadanos, y la baja intensidad del empleo, que tocaba en 2013 al 15,7% de los habitantes del país.</w:t>
            </w:r>
          </w:p>
          <w:p>
            <w:pPr>
              <w:ind w:left="-284" w:right="-427"/>
              <w:jc w:val="both"/>
              <w:rPr>
                <w:rFonts/>
                <w:color w:val="262626" w:themeColor="text1" w:themeTint="D9"/>
              </w:rPr>
            </w:pPr>
            <w:r>
              <w:t>	Según ha explicado el presidente de EAPN España, Carlos Susías, estos tres problemas coinciden en el 1,8% de la población, “posiblemente el núcleo donde estén las situaciones más duras de pobreza”. Aumenta así la pobreza y esta pobreza tiene más intensidad. “Ha desaparecido una buena parte de la clase media, que ahora es baja”, ha comentado Malgesini.</w:t>
            </w:r>
          </w:p>
          <w:p>
            <w:pPr>
              <w:ind w:left="-284" w:right="-427"/>
              <w:jc w:val="both"/>
              <w:rPr>
                <w:rFonts/>
                <w:color w:val="262626" w:themeColor="text1" w:themeTint="D9"/>
              </w:rPr>
            </w:pPr>
            <w:r>
              <w:t>	CRECE LA PRIVACIÓN MATERIAL SEVERA</w:t>
            </w:r>
          </w:p>
          <w:p>
            <w:pPr>
              <w:ind w:left="-284" w:right="-427"/>
              <w:jc w:val="both"/>
              <w:rPr>
                <w:rFonts/>
                <w:color w:val="262626" w:themeColor="text1" w:themeTint="D9"/>
              </w:rPr>
            </w:pPr>
            <w:r>
              <w:t>	Sobre Privación Material Severa, el informe indica un aumento del 38% (del 4,5% al 6,2%) entre 2009 y 2013, es decir, hay casi 3 millones de personas, 800.000 más que antes de la crisis, con dificultades para alimentarse adecuadamente, que tienen que retrasar pagos de su vivienda, que no pueden caldearla en invierno o que no tienen capacidad para afrontar ni un gasto imprevisto.</w:t>
            </w:r>
          </w:p>
          <w:p>
            <w:pPr>
              <w:ind w:left="-284" w:right="-427"/>
              <w:jc w:val="both"/>
              <w:rPr>
                <w:rFonts/>
                <w:color w:val="262626" w:themeColor="text1" w:themeTint="D9"/>
              </w:rPr>
            </w:pPr>
            <w:r>
              <w:t>	En paralelo, la población que vive en hogares con baja intensidad de empleo (BITH) es más del doble que en 2009 y alcanza al 15,7% de los ciudadanos hasta 59 años de edad, un total de 5.694.683 personas. Además, según el informe, en 2013 el 11,7% de las personas en situación de pobreza tenían empleo, “lo que viene a demostrar que no cualquier trabajo protege” de la exclusión.</w:t>
            </w:r>
          </w:p>
          <w:p>
            <w:pPr>
              <w:ind w:left="-284" w:right="-427"/>
              <w:jc w:val="both"/>
              <w:rPr>
                <w:rFonts/>
                <w:color w:val="262626" w:themeColor="text1" w:themeTint="D9"/>
              </w:rPr>
            </w:pPr>
            <w:r>
              <w:t>	Conforme ha detallado la responsable de Asuntos Europeos e Incidencia Política de la EAPN, Graciela Malgesini, con datos de Eurostat cerca del 12 por ciento de todos los trabajadores de España están en situación de pobreza relativa porque ganan menos de la mitad de la mediana nacional.</w:t>
            </w:r>
          </w:p>
          <w:p>
            <w:pPr>
              <w:ind w:left="-284" w:right="-427"/>
              <w:jc w:val="both"/>
              <w:rPr>
                <w:rFonts/>
                <w:color w:val="262626" w:themeColor="text1" w:themeTint="D9"/>
              </w:rPr>
            </w:pPr>
            <w:r>
              <w:t>	MÁS DESIGUALDAD</w:t>
            </w:r>
          </w:p>
          <w:p>
            <w:pPr>
              <w:ind w:left="-284" w:right="-427"/>
              <w:jc w:val="both"/>
              <w:rPr>
                <w:rFonts/>
                <w:color w:val="262626" w:themeColor="text1" w:themeTint="D9"/>
              </w:rPr>
            </w:pPr>
            <w:r>
              <w:t>	Como resultado, se ha incrementado la desigualdad entre 2009 y 2012, que se mide con el índice internacional conocido como Gini, un indicador que se había mantenido “relativamente constante” entre 2005 y 2008 y que desde el año siguiente se ha incrementado 8 décimas hasta 33,7 puntos. Además, la proporción de los ingresos totales percibidos por el 20% de la población que gana más multiplica por 6,3 la percibida por el 20% con menos ganancias.</w:t>
            </w:r>
          </w:p>
          <w:p>
            <w:pPr>
              <w:ind w:left="-284" w:right="-427"/>
              <w:jc w:val="both"/>
              <w:rPr>
                <w:rFonts/>
                <w:color w:val="262626" w:themeColor="text1" w:themeTint="D9"/>
              </w:rPr>
            </w:pPr>
            <w:r>
              <w:t>	“Transcurridos ya más de cuatro años desde la formulación de los objetivos europeos especificados en la Estrategia 2020, el seguimiento del indicador AROPE y sus componentes muestra que en España no sólo no se ha avanzado en la reducción de la pobreza y la exclusión social, sino que, por el contrario, ha aumentado enormemente”, dice la EAPN, para recordar que se rebasan las metas en 2,7 millones de personas.</w:t>
            </w:r>
          </w:p>
          <w:p>
            <w:pPr>
              <w:ind w:left="-284" w:right="-427"/>
              <w:jc w:val="both"/>
              <w:rPr>
                <w:rFonts/>
                <w:color w:val="262626" w:themeColor="text1" w:themeTint="D9"/>
              </w:rPr>
            </w:pPr>
            <w:r>
              <w:t>	DESIGUALDAD NORTE SUR</w:t>
            </w:r>
          </w:p>
          <w:p>
            <w:pPr>
              <w:ind w:left="-284" w:right="-427"/>
              <w:jc w:val="both"/>
              <w:rPr>
                <w:rFonts/>
                <w:color w:val="262626" w:themeColor="text1" w:themeTint="D9"/>
              </w:rPr>
            </w:pPr>
            <w:r>
              <w:t>	La desigualdad afecta asimismo al nivel territorial, sobre todo en la contraposición norte-sur: Navarra, País Vasco y Aragón tienen tasas de riesgo de pobreza y exclusión inferiores al 20% mientras Canarias Extremadura, Castilla-La Mancha y Andalucía, oscilan entre el 35% y el 39%. El informe destaca el caso de Ceuta, donde casi la mitad de su población (47%) vive en esta situación.</w:t>
            </w:r>
          </w:p>
          <w:p>
            <w:pPr>
              <w:ind w:left="-284" w:right="-427"/>
              <w:jc w:val="both"/>
              <w:rPr>
                <w:rFonts/>
                <w:color w:val="262626" w:themeColor="text1" w:themeTint="D9"/>
              </w:rPr>
            </w:pPr>
            <w:r>
              <w:t>	Respecto a la privación material severa, se señala la gran variabilidad de la tasa de Privación Material Severa en los distintos territorios, que oscila entre el 0,6% de Navarra y el 15,3% en Ceuta. Aquí, no obstante, ha caído un 0,6% el volumen de personas en baja intensidad de empleo.</w:t>
            </w:r>
          </w:p>
          <w:p>
            <w:pPr>
              <w:ind w:left="-284" w:right="-427"/>
              <w:jc w:val="both"/>
              <w:rPr>
                <w:rFonts/>
                <w:color w:val="262626" w:themeColor="text1" w:themeTint="D9"/>
              </w:rPr>
            </w:pPr>
            <w:r>
              <w:t>	“La pobreza es resultado de un bajo nivel de empleo y un bajo nivel de políticas sociales, tanto rentas mínimas como elemento fundamental pero también los complementos por hijo a cargo. Las comunidades autónomas que han hecho inversiones fuertes en políticas sociales como País Vasco y Navarra tienen menos tasas”, ha sentenciado Malgesini.</w:t>
            </w:r>
          </w:p>
          <w:p>
            <w:pPr>
              <w:ind w:left="-284" w:right="-427"/>
              <w:jc w:val="both"/>
              <w:rPr>
                <w:rFonts/>
                <w:color w:val="262626" w:themeColor="text1" w:themeTint="D9"/>
              </w:rPr>
            </w:pPr>
            <w:r>
              <w:t>	Susías ha añadido además “todos los indicadores” hasta 2012 indican que la ha golpeado con mayor dureza a la clase media. “Estamos hablando de pobreza en uno de los países más ricos del mundo y lo que distingue a estos países es la fortaleza de su clase media, por eso es importante que se siga manteniendo. Pedimos políticas para las clases medias, como la ayuda universal por hijo”, ha destacado.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https://www.notasdeprensa.es/mas-de-128-millones-de-espanoles-estan-en_1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