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se mantiene como la octava empresa con mejor reputación en españa en el informe MERCO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Huertas se sitúa en el puesto 28 del ranking de líderes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se mantiene como la octava empresa con mejor reputación y como la aseguradora más valorada en el Informe Merco 2014 (Monitor Español de Reputación Corporativa), que evalúa la reputación de las compañías y de sus líderes.</w:t>
            </w:r>
          </w:p>
          <w:p>
            <w:pPr>
              <w:ind w:left="-284" w:right="-427"/>
              <w:jc w:val="both"/>
              <w:rPr>
                <w:rFonts/>
                <w:color w:val="262626" w:themeColor="text1" w:themeTint="D9"/>
              </w:rPr>
            </w:pPr>
            <w:r>
              <w:t>	Además, el Presidente de MAPFRE, Antonio Huertas, figura entre los 30 líderes empresariales españoles más valorados. En concreto, tras ascender 4 posiciones respecto al año pasado, se sitúa en el puesto número 28. </w:t>
            </w:r>
          </w:p>
          <w:p>
            <w:pPr>
              <w:ind w:left="-284" w:right="-427"/>
              <w:jc w:val="both"/>
              <w:rPr>
                <w:rFonts/>
                <w:color w:val="262626" w:themeColor="text1" w:themeTint="D9"/>
              </w:rPr>
            </w:pPr>
            <w:r>
              <w:t>	En cuanto al ranking sobre las mejores empresas más responsables y con mejor gobierno corporativo, MAPFRE asciende cuatro posiciones, hasta el puesto número 13.</w:t>
            </w:r>
          </w:p>
          <w:p>
            <w:pPr>
              <w:ind w:left="-284" w:right="-427"/>
              <w:jc w:val="both"/>
              <w:rPr>
                <w:rFonts/>
                <w:color w:val="262626" w:themeColor="text1" w:themeTint="D9"/>
              </w:rPr>
            </w:pPr>
            <w:r>
              <w:t>	El Informe MERCO 2014 se elabora realizando un cuestionario a más de 1.300 directivos  de compañías españolas, con facturación superior a 50 millones de euros, analistas financieros, representantes de ONG, asociaciones de consumidores, periodistas de información económica, líderes de opinión, expertos en responsabilidad social corporativa y catedráticos, entre otros.</w:t>
            </w:r>
          </w:p>
          <w:p>
            <w:pPr>
              <w:ind w:left="-284" w:right="-427"/>
              <w:jc w:val="both"/>
              <w:rPr>
                <w:rFonts/>
                <w:color w:val="262626" w:themeColor="text1" w:themeTint="D9"/>
              </w:rPr>
            </w:pPr>
            <w:r>
              <w:t>	Entre los aspectos que se tienen en cuenta para elaborar este informe destacan los resultados económicos, el comportamiento ético, la transparencia, el buen gobierno corporativo, el compromiso con el medio ambiente, la calidad laboral y la oferta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https://www.notasdeprensa.es/mapfre-se-mantiene-como-la-octava-empresa-con_1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